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8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655320</wp:posOffset>
            </wp:positionH>
            <wp:positionV relativeFrom="page">
              <wp:posOffset>477520</wp:posOffset>
            </wp:positionV>
            <wp:extent cx="65424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2405" cy="8255"/>
                    </a:xfrm>
                    <a:prstGeom prst="rect">
                      <a:avLst/>
                    </a:prstGeom>
                    <a:noFill/>
                  </pic:spPr>
                </pic:pic>
              </a:graphicData>
            </a:graphic>
          </wp:anchor>
        </w:drawing>
        <w:drawing>
          <wp:anchor simplePos="0" relativeHeight="251657728" behindDoc="1" locked="0" layoutInCell="0" allowOverlap="1">
            <wp:simplePos x="0" y="0"/>
            <wp:positionH relativeFrom="page">
              <wp:posOffset>655320</wp:posOffset>
            </wp:positionH>
            <wp:positionV relativeFrom="page">
              <wp:posOffset>502920</wp:posOffset>
            </wp:positionV>
            <wp:extent cx="65424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42405" cy="8255"/>
                    </a:xfrm>
                    <a:prstGeom prst="rect">
                      <a:avLst/>
                    </a:prstGeom>
                    <a:noFill/>
                  </pic:spPr>
                </pic:pic>
              </a:graphicData>
            </a:graphic>
          </wp:anchor>
        </w:drawing>
        <w:t>UNITED STATES</w:t>
      </w:r>
    </w:p>
    <w:p>
      <w:pPr>
        <w:spacing w:after="0" w:line="35" w:lineRule="exact"/>
        <w:rPr>
          <w:sz w:val="24"/>
          <w:szCs w:val="24"/>
          <w:color w:val="auto"/>
        </w:rPr>
      </w:pPr>
    </w:p>
    <w:p>
      <w:pPr>
        <w:jc w:val="center"/>
        <w:ind w:left="480"/>
        <w:spacing w:after="0"/>
        <w:rPr>
          <w:sz w:val="20"/>
          <w:szCs w:val="20"/>
          <w:color w:val="auto"/>
        </w:rPr>
      </w:pPr>
      <w:r>
        <w:rPr>
          <w:rFonts w:ascii="Arial" w:cs="Arial" w:eastAsia="Arial" w:hAnsi="Arial"/>
          <w:sz w:val="21"/>
          <w:szCs w:val="21"/>
          <w:b w:val="1"/>
          <w:bCs w:val="1"/>
          <w:color w:val="auto"/>
        </w:rPr>
        <w:t>SECURITIES AND EXCHANGE COMMISSION</w:t>
      </w:r>
    </w:p>
    <w:p>
      <w:pPr>
        <w:spacing w:after="0" w:line="11" w:lineRule="exact"/>
        <w:rPr>
          <w:sz w:val="24"/>
          <w:szCs w:val="24"/>
          <w:color w:val="auto"/>
        </w:rPr>
      </w:pPr>
    </w:p>
    <w:p>
      <w:pPr>
        <w:jc w:val="center"/>
        <w:ind w:left="480"/>
        <w:spacing w:after="0"/>
        <w:rPr>
          <w:sz w:val="20"/>
          <w:szCs w:val="20"/>
          <w:color w:val="auto"/>
        </w:rPr>
      </w:pPr>
      <w:r>
        <w:rPr>
          <w:rFonts w:ascii="Arial" w:cs="Arial" w:eastAsia="Arial" w:hAnsi="Arial"/>
          <w:sz w:val="21"/>
          <w:szCs w:val="21"/>
          <w:color w:val="auto"/>
        </w:rPr>
        <w:t>WASHINGTON, D.C. 20549</w:t>
      </w:r>
    </w:p>
    <w:p>
      <w:pPr>
        <w:spacing w:after="0" w:line="7" w:lineRule="exact"/>
        <w:rPr>
          <w:sz w:val="24"/>
          <w:szCs w:val="24"/>
          <w:color w:val="auto"/>
        </w:rPr>
      </w:pPr>
    </w:p>
    <w:p>
      <w:pPr>
        <w:ind w:left="5200"/>
        <w:spacing w:after="0"/>
        <w:rPr>
          <w:sz w:val="20"/>
          <w:szCs w:val="20"/>
          <w:color w:val="auto"/>
        </w:rPr>
      </w:pPr>
      <w:r>
        <w:rPr>
          <w:rFonts w:ascii="Arial" w:cs="Arial" w:eastAsia="Arial" w:hAnsi="Arial"/>
          <w:sz w:val="25"/>
          <w:szCs w:val="25"/>
          <w:b w:val="1"/>
          <w:bCs w:val="1"/>
          <w:color w:val="auto"/>
        </w:rPr>
        <w:t>FORM 10-Q</w:t>
      </w:r>
    </w:p>
    <w:p>
      <w:pPr>
        <w:spacing w:after="0" w:line="142" w:lineRule="exact"/>
        <w:rPr>
          <w:sz w:val="24"/>
          <w:szCs w:val="24"/>
          <w:color w:val="auto"/>
        </w:rPr>
      </w:pPr>
    </w:p>
    <w:p>
      <w:pPr>
        <w:ind w:left="940" w:hanging="437"/>
        <w:spacing w:after="0"/>
        <w:tabs>
          <w:tab w:leader="none" w:pos="94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64" w:lineRule="exact"/>
        <w:rPr>
          <w:sz w:val="24"/>
          <w:szCs w:val="24"/>
          <w:color w:val="auto"/>
        </w:rPr>
      </w:pPr>
    </w:p>
    <w:p>
      <w:pPr>
        <w:jc w:val="center"/>
        <w:ind w:left="480"/>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59" w:lineRule="exact"/>
        <w:rPr>
          <w:sz w:val="24"/>
          <w:szCs w:val="24"/>
          <w:color w:val="auto"/>
        </w:rPr>
      </w:pPr>
    </w:p>
    <w:p>
      <w:pPr>
        <w:jc w:val="center"/>
        <w:ind w:left="480"/>
        <w:spacing w:after="0"/>
        <w:rPr>
          <w:sz w:val="20"/>
          <w:szCs w:val="20"/>
          <w:color w:val="auto"/>
        </w:rPr>
      </w:pPr>
      <w:r>
        <w:rPr>
          <w:rFonts w:ascii="Arial" w:cs="Arial" w:eastAsia="Arial" w:hAnsi="Arial"/>
          <w:sz w:val="18"/>
          <w:szCs w:val="18"/>
          <w:b w:val="1"/>
          <w:bCs w:val="1"/>
          <w:color w:val="auto"/>
        </w:rPr>
        <w:t>OR</w:t>
      </w:r>
    </w:p>
    <w:p>
      <w:pPr>
        <w:spacing w:after="0" w:line="99" w:lineRule="exact"/>
        <w:rPr>
          <w:sz w:val="24"/>
          <w:szCs w:val="24"/>
          <w:color w:val="auto"/>
        </w:rPr>
      </w:pPr>
    </w:p>
    <w:p>
      <w:pPr>
        <w:ind w:left="940" w:hanging="437"/>
        <w:spacing w:after="0"/>
        <w:tabs>
          <w:tab w:leader="none" w:pos="9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11" w:lineRule="exact"/>
        <w:rPr>
          <w:sz w:val="24"/>
          <w:szCs w:val="24"/>
          <w:color w:val="auto"/>
        </w:rPr>
      </w:pPr>
    </w:p>
    <w:p>
      <w:pPr>
        <w:jc w:val="center"/>
        <w:ind w:left="480"/>
        <w:spacing w:after="0"/>
        <w:rPr>
          <w:sz w:val="20"/>
          <w:szCs w:val="20"/>
          <w:color w:val="auto"/>
        </w:rPr>
      </w:pPr>
      <w:r>
        <w:rPr>
          <w:rFonts w:ascii="Arial" w:cs="Arial" w:eastAsia="Arial" w:hAnsi="Arial"/>
          <w:sz w:val="18"/>
          <w:szCs w:val="18"/>
          <w:b w:val="1"/>
          <w:bCs w:val="1"/>
          <w:color w:val="auto"/>
        </w:rPr>
        <w:t>For the transition period from_______to_______</w:t>
      </w:r>
    </w:p>
    <w:p>
      <w:pPr>
        <w:spacing w:after="0" w:line="59" w:lineRule="exact"/>
        <w:rPr>
          <w:sz w:val="24"/>
          <w:szCs w:val="24"/>
          <w:color w:val="auto"/>
        </w:rPr>
      </w:pPr>
    </w:p>
    <w:p>
      <w:pPr>
        <w:jc w:val="center"/>
        <w:ind w:left="480"/>
        <w:spacing w:after="0"/>
        <w:rPr>
          <w:sz w:val="20"/>
          <w:szCs w:val="20"/>
          <w:color w:val="auto"/>
        </w:rPr>
      </w:pPr>
      <w:r>
        <w:rPr>
          <w:rFonts w:ascii="Arial" w:cs="Arial" w:eastAsia="Arial" w:hAnsi="Arial"/>
          <w:sz w:val="18"/>
          <w:szCs w:val="18"/>
          <w:b w:val="1"/>
          <w:bCs w:val="1"/>
          <w:color w:val="auto"/>
        </w:rPr>
        <w:t>Commission File Number: 001-40015</w:t>
      </w:r>
    </w:p>
    <w:p>
      <w:pPr>
        <w:spacing w:after="0" w:line="17" w:lineRule="exact"/>
        <w:rPr>
          <w:sz w:val="24"/>
          <w:szCs w:val="24"/>
          <w:color w:val="auto"/>
        </w:rPr>
      </w:pPr>
    </w:p>
    <w:p>
      <w:pPr>
        <w:ind w:left="3860"/>
        <w:spacing w:after="0"/>
        <w:rPr>
          <w:sz w:val="20"/>
          <w:szCs w:val="20"/>
          <w:color w:val="auto"/>
        </w:rPr>
      </w:pPr>
      <w:r>
        <w:rPr>
          <w:rFonts w:ascii="Arial" w:cs="Arial" w:eastAsia="Arial" w:hAnsi="Arial"/>
          <w:sz w:val="5"/>
          <w:szCs w:val="5"/>
          <w:color w:val="auto"/>
        </w:rPr>
        <w:t>______________________________________________________________________________________________________________________________________________________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2810510</wp:posOffset>
            </wp:positionH>
            <wp:positionV relativeFrom="paragraph">
              <wp:posOffset>69850</wp:posOffset>
            </wp:positionV>
            <wp:extent cx="1834515" cy="321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4515" cy="3213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left="480"/>
        <w:spacing w:after="0"/>
        <w:rPr>
          <w:sz w:val="20"/>
          <w:szCs w:val="20"/>
          <w:color w:val="auto"/>
        </w:rPr>
      </w:pPr>
      <w:r>
        <w:rPr>
          <w:rFonts w:ascii="Arial" w:cs="Arial" w:eastAsia="Arial" w:hAnsi="Arial"/>
          <w:sz w:val="21"/>
          <w:szCs w:val="21"/>
          <w:b w:val="1"/>
          <w:bCs w:val="1"/>
          <w:color w:val="auto"/>
        </w:rPr>
        <w:t>Viant Technology Inc.</w:t>
      </w:r>
    </w:p>
    <w:p>
      <w:pPr>
        <w:spacing w:after="0" w:line="24"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3860"/>
        <w:spacing w:after="0"/>
        <w:rPr>
          <w:sz w:val="20"/>
          <w:szCs w:val="20"/>
          <w:color w:val="auto"/>
        </w:rPr>
      </w:pPr>
      <w:r>
        <w:rPr>
          <w:rFonts w:ascii="Arial" w:cs="Arial" w:eastAsia="Arial" w:hAnsi="Arial"/>
          <w:sz w:val="5"/>
          <w:szCs w:val="5"/>
          <w:color w:val="auto"/>
        </w:rPr>
        <w:t>______________________________________________________________________________________________________________________________________________________</w:t>
      </w:r>
    </w:p>
    <w:p>
      <w:pPr>
        <w:sectPr>
          <w:pgSz w:w="11900" w:h="16838" w:orient="portrait"/>
          <w:cols w:equalWidth="0" w:num="1">
            <w:col w:w="11160"/>
          </w:cols>
          <w:pgMar w:left="320" w:top="911" w:right="419" w:bottom="1440" w:gutter="0" w:footer="0" w:header="0"/>
        </w:sectPr>
      </w:pPr>
    </w:p>
    <w:p>
      <w:pPr>
        <w:spacing w:after="0" w:line="91"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Delaware</w:t>
      </w:r>
    </w:p>
    <w:p>
      <w:pPr>
        <w:spacing w:after="0" w:line="25" w:lineRule="exact"/>
        <w:rPr>
          <w:sz w:val="24"/>
          <w:szCs w:val="24"/>
          <w:color w:val="auto"/>
        </w:rPr>
      </w:pPr>
    </w:p>
    <w:p>
      <w:pPr>
        <w:ind w:left="1180"/>
        <w:spacing w:after="0"/>
        <w:rPr>
          <w:sz w:val="20"/>
          <w:szCs w:val="20"/>
          <w:color w:val="auto"/>
        </w:rPr>
      </w:pPr>
      <w:r>
        <w:rPr>
          <w:rFonts w:ascii="Arial" w:cs="Arial" w:eastAsia="Arial" w:hAnsi="Arial"/>
          <w:sz w:val="16"/>
          <w:szCs w:val="16"/>
          <w:color w:val="auto"/>
        </w:rPr>
        <w:t>(State or other jurisdiction of</w:t>
      </w:r>
    </w:p>
    <w:p>
      <w:pPr>
        <w:spacing w:after="0" w:line="1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85-3447553</w:t>
      </w:r>
    </w:p>
    <w:p>
      <w:pPr>
        <w:spacing w:after="0" w:line="25" w:lineRule="exact"/>
        <w:rPr>
          <w:sz w:val="24"/>
          <w:szCs w:val="24"/>
          <w:color w:val="auto"/>
        </w:rPr>
      </w:pPr>
    </w:p>
    <w:p>
      <w:pPr>
        <w:jc w:val="center"/>
        <w:ind w:right="1440"/>
        <w:spacing w:after="0"/>
        <w:rPr>
          <w:sz w:val="20"/>
          <w:szCs w:val="20"/>
          <w:color w:val="auto"/>
        </w:rPr>
      </w:pPr>
      <w:r>
        <w:rPr>
          <w:rFonts w:ascii="Arial" w:cs="Arial" w:eastAsia="Arial" w:hAnsi="Arial"/>
          <w:sz w:val="17"/>
          <w:szCs w:val="17"/>
          <w:color w:val="auto"/>
        </w:rPr>
        <w:t>(I.R.S. Employer</w:t>
      </w:r>
    </w:p>
    <w:p>
      <w:pPr>
        <w:spacing w:after="0" w:line="5"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Identification No.)</w:t>
      </w:r>
    </w:p>
    <w:p>
      <w:pPr>
        <w:spacing w:after="0" w:line="36" w:lineRule="exact"/>
        <w:rPr>
          <w:sz w:val="24"/>
          <w:szCs w:val="24"/>
          <w:color w:val="auto"/>
        </w:rPr>
      </w:pPr>
    </w:p>
    <w:p>
      <w:pPr>
        <w:sectPr>
          <w:pgSz w:w="11900" w:h="16838" w:orient="portrait"/>
          <w:cols w:equalWidth="0" w:num="2">
            <w:col w:w="7680" w:space="720"/>
            <w:col w:w="2760"/>
          </w:cols>
          <w:pgMar w:left="320" w:top="911" w:right="41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2722 Michelson Drive, Suite 100</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Irvine, CA 92612</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offices and zip code)</w:t>
      </w:r>
    </w:p>
    <w:p>
      <w:pPr>
        <w:spacing w:after="0" w:line="169"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(949) 861-8888</w:t>
      </w:r>
    </w:p>
    <w:p>
      <w:pPr>
        <w:spacing w:after="0" w:line="23" w:lineRule="exact"/>
        <w:rPr>
          <w:sz w:val="24"/>
          <w:szCs w:val="24"/>
          <w:color w:val="auto"/>
        </w:rPr>
      </w:pPr>
    </w:p>
    <w:p>
      <w:pPr>
        <w:jc w:val="center"/>
        <w:ind w:left="460"/>
        <w:spacing w:after="0"/>
        <w:rPr>
          <w:sz w:val="20"/>
          <w:szCs w:val="20"/>
          <w:color w:val="auto"/>
        </w:rPr>
      </w:pPr>
      <w:r>
        <w:rPr>
          <w:rFonts w:ascii="Arial" w:cs="Arial" w:eastAsia="Arial" w:hAnsi="Arial"/>
          <w:sz w:val="17"/>
          <w:szCs w:val="17"/>
          <w:color w:val="auto"/>
        </w:rPr>
        <w:t>(Registrant’s telephone number, including area code)</w:t>
      </w:r>
    </w:p>
    <w:p>
      <w:pPr>
        <w:spacing w:after="0" w:line="11" w:lineRule="exact"/>
        <w:rPr>
          <w:sz w:val="24"/>
          <w:szCs w:val="24"/>
          <w:color w:val="auto"/>
        </w:rPr>
      </w:pPr>
    </w:p>
    <w:p>
      <w:pPr>
        <w:ind w:left="3860"/>
        <w:spacing w:after="0"/>
        <w:rPr>
          <w:sz w:val="20"/>
          <w:szCs w:val="20"/>
          <w:color w:val="auto"/>
        </w:rPr>
      </w:pPr>
      <w:r>
        <w:rPr>
          <w:rFonts w:ascii="Arial" w:cs="Arial" w:eastAsia="Arial" w:hAnsi="Arial"/>
          <w:sz w:val="4"/>
          <w:szCs w:val="4"/>
          <w:color w:val="auto"/>
        </w:rPr>
        <w:t>______________________________________________________________________________________________________________________________________________________</w:t>
      </w:r>
    </w:p>
    <w:p>
      <w:pPr>
        <w:sectPr>
          <w:pgSz w:w="11900" w:h="16838" w:orient="portrait"/>
          <w:cols w:equalWidth="0" w:num="1">
            <w:col w:w="11160"/>
          </w:cols>
          <w:pgMar w:left="320" w:top="911" w:right="419" w:bottom="1440" w:gutter="0" w:footer="0" w:header="0"/>
          <w:type w:val="continuous"/>
        </w:sectPr>
      </w:pPr>
    </w:p>
    <w:p>
      <w:pPr>
        <w:spacing w:after="0" w:line="125" w:lineRule="exact"/>
        <w:rPr>
          <w:sz w:val="24"/>
          <w:szCs w:val="24"/>
          <w:color w:val="auto"/>
        </w:rPr>
      </w:pPr>
    </w:p>
    <w:p>
      <w:pPr>
        <w:ind w:left="4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5" w:lineRule="exact"/>
        <w:rPr>
          <w:sz w:val="24"/>
          <w:szCs w:val="24"/>
          <w:color w:val="auto"/>
        </w:rPr>
      </w:pPr>
    </w:p>
    <w:tbl>
      <w:tblPr>
        <w:tblLayout w:type="fixed"/>
        <w:tblInd w:w="480" w:type="dxa"/>
        <w:tblCellMar>
          <w:top w:w="0" w:type="dxa"/>
          <w:left w:w="0" w:type="dxa"/>
          <w:bottom w:w="0" w:type="dxa"/>
          <w:right w:w="0" w:type="dxa"/>
        </w:tblCellMar>
      </w:tblPr>
      <w:tr>
        <w:trPr>
          <w:trHeight w:val="211"/>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80" w:type="dxa"/>
            <w:vAlign w:val="bottom"/>
          </w:tcPr>
          <w:p>
            <w:pPr>
              <w:spacing w:after="0"/>
              <w:rPr>
                <w:sz w:val="18"/>
                <w:szCs w:val="18"/>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100" w:type="dxa"/>
            <w:vAlign w:val="bottom"/>
          </w:tcPr>
          <w:p>
            <w:pPr>
              <w:spacing w:after="0"/>
              <w:rPr>
                <w:sz w:val="18"/>
                <w:szCs w:val="18"/>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159"/>
        </w:trPr>
        <w:tc>
          <w:tcPr>
            <w:tcW w:w="3380" w:type="dxa"/>
            <w:vAlign w:val="bottom"/>
          </w:tcPr>
          <w:p>
            <w:pPr>
              <w:jc w:val="center"/>
              <w:spacing w:after="0" w:line="159" w:lineRule="exact"/>
              <w:rPr>
                <w:sz w:val="20"/>
                <w:szCs w:val="20"/>
                <w:color w:val="auto"/>
              </w:rPr>
            </w:pPr>
            <w:r>
              <w:rPr>
                <w:rFonts w:ascii="Arial" w:cs="Arial" w:eastAsia="Arial" w:hAnsi="Arial"/>
                <w:sz w:val="16"/>
                <w:szCs w:val="16"/>
                <w:color w:val="auto"/>
                <w:w w:val="88"/>
              </w:rPr>
              <w:t>Class A common stock, par value $0.001 per share</w:t>
            </w:r>
          </w:p>
        </w:tc>
        <w:tc>
          <w:tcPr>
            <w:tcW w:w="80" w:type="dxa"/>
            <w:vAlign w:val="bottom"/>
          </w:tcPr>
          <w:p>
            <w:pPr>
              <w:spacing w:after="0"/>
              <w:rPr>
                <w:sz w:val="13"/>
                <w:szCs w:val="13"/>
                <w:color w:val="auto"/>
              </w:rPr>
            </w:pPr>
          </w:p>
        </w:tc>
        <w:tc>
          <w:tcPr>
            <w:tcW w:w="3380" w:type="dxa"/>
            <w:vAlign w:val="bottom"/>
          </w:tcPr>
          <w:p>
            <w:pPr>
              <w:jc w:val="center"/>
              <w:spacing w:after="0" w:line="159" w:lineRule="exact"/>
              <w:rPr>
                <w:sz w:val="20"/>
                <w:szCs w:val="20"/>
                <w:color w:val="auto"/>
              </w:rPr>
            </w:pPr>
            <w:r>
              <w:rPr>
                <w:rFonts w:ascii="Arial" w:cs="Arial" w:eastAsia="Arial" w:hAnsi="Arial"/>
                <w:sz w:val="16"/>
                <w:szCs w:val="16"/>
                <w:color w:val="auto"/>
                <w:w w:val="91"/>
              </w:rPr>
              <w:t>DSP</w:t>
            </w:r>
          </w:p>
        </w:tc>
        <w:tc>
          <w:tcPr>
            <w:tcW w:w="100" w:type="dxa"/>
            <w:vAlign w:val="bottom"/>
          </w:tcPr>
          <w:p>
            <w:pPr>
              <w:spacing w:after="0"/>
              <w:rPr>
                <w:sz w:val="13"/>
                <w:szCs w:val="13"/>
                <w:color w:val="auto"/>
              </w:rPr>
            </w:pPr>
          </w:p>
        </w:tc>
        <w:tc>
          <w:tcPr>
            <w:tcW w:w="3360" w:type="dxa"/>
            <w:vAlign w:val="bottom"/>
          </w:tcPr>
          <w:p>
            <w:pPr>
              <w:jc w:val="center"/>
              <w:spacing w:after="0" w:line="159" w:lineRule="exact"/>
              <w:rPr>
                <w:sz w:val="20"/>
                <w:szCs w:val="20"/>
                <w:color w:val="auto"/>
              </w:rPr>
            </w:pPr>
            <w:r>
              <w:rPr>
                <w:rFonts w:ascii="Arial" w:cs="Arial" w:eastAsia="Arial" w:hAnsi="Arial"/>
                <w:sz w:val="16"/>
                <w:szCs w:val="16"/>
                <w:color w:val="auto"/>
                <w:w w:val="91"/>
              </w:rPr>
              <w:t>The Nasdaq Stock Market LLC</w:t>
            </w:r>
          </w:p>
        </w:tc>
      </w:tr>
      <w:tr>
        <w:trPr>
          <w:trHeight w:val="204"/>
        </w:trPr>
        <w:tc>
          <w:tcPr>
            <w:tcW w:w="3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142" w:lineRule="exact"/>
        <w:rPr>
          <w:sz w:val="24"/>
          <w:szCs w:val="24"/>
          <w:color w:val="auto"/>
        </w:rPr>
      </w:pPr>
    </w:p>
    <w:p>
      <w:pPr>
        <w:ind w:right="80" w:firstLine="479"/>
        <w:spacing w:after="0" w:line="26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6" w:lineRule="exact"/>
        <w:rPr>
          <w:sz w:val="24"/>
          <w:szCs w:val="24"/>
          <w:color w:val="auto"/>
        </w:rPr>
      </w:pPr>
    </w:p>
    <w:p>
      <w:pPr>
        <w:ind w:firstLine="479"/>
        <w:spacing w:after="0" w:line="303"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4" w:lineRule="exact"/>
        <w:rPr>
          <w:sz w:val="24"/>
          <w:szCs w:val="24"/>
          <w:color w:val="auto"/>
        </w:rPr>
      </w:pPr>
    </w:p>
    <w:p>
      <w:pPr>
        <w:jc w:val="both"/>
        <w:ind w:right="340" w:firstLine="479"/>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500" w:type="dxa"/>
        <w:tblCellMar>
          <w:top w:w="0" w:type="dxa"/>
          <w:left w:w="0" w:type="dxa"/>
          <w:bottom w:w="0" w:type="dxa"/>
          <w:right w:w="0" w:type="dxa"/>
        </w:tblCellMar>
      </w:tblPr>
      <w:tr>
        <w:trPr>
          <w:trHeight w:val="204"/>
        </w:trPr>
        <w:tc>
          <w:tcPr>
            <w:tcW w:w="31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40" w:type="dxa"/>
            <w:vAlign w:val="bottom"/>
          </w:tcPr>
          <w:p>
            <w:pPr>
              <w:ind w:left="1380"/>
              <w:spacing w:after="0"/>
              <w:rPr>
                <w:sz w:val="20"/>
                <w:szCs w:val="20"/>
                <w:color w:val="auto"/>
              </w:rPr>
            </w:pPr>
            <w:r>
              <w:rPr>
                <w:rFonts w:ascii="Arial" w:cs="Arial" w:eastAsia="Arial" w:hAnsi="Arial"/>
                <w:sz w:val="16"/>
                <w:szCs w:val="16"/>
                <w:color w:val="auto"/>
              </w:rPr>
              <w:t>o</w:t>
            </w:r>
          </w:p>
        </w:tc>
        <w:tc>
          <w:tcPr>
            <w:tcW w:w="3660" w:type="dxa"/>
            <w:vAlign w:val="bottom"/>
          </w:tcPr>
          <w:p>
            <w:pPr>
              <w:ind w:left="280"/>
              <w:spacing w:after="0"/>
              <w:rPr>
                <w:sz w:val="20"/>
                <w:szCs w:val="20"/>
                <w:color w:val="auto"/>
              </w:rPr>
            </w:pPr>
            <w:r>
              <w:rPr>
                <w:rFonts w:ascii="Arial" w:cs="Arial" w:eastAsia="Arial" w:hAnsi="Arial"/>
                <w:sz w:val="16"/>
                <w:szCs w:val="16"/>
                <w:color w:val="auto"/>
              </w:rPr>
              <w:t>Accelerated filer</w:t>
            </w:r>
          </w:p>
        </w:tc>
        <w:tc>
          <w:tcPr>
            <w:tcW w:w="1720" w:type="dxa"/>
            <w:vAlign w:val="bottom"/>
          </w:tcPr>
          <w:p>
            <w:pPr>
              <w:jc w:val="right"/>
              <w:spacing w:after="0"/>
              <w:rPr>
                <w:sz w:val="20"/>
                <w:szCs w:val="20"/>
                <w:color w:val="auto"/>
              </w:rPr>
            </w:pPr>
            <w:r>
              <w:rPr>
                <w:rFonts w:ascii="Arial" w:cs="Arial" w:eastAsia="Arial" w:hAnsi="Arial"/>
                <w:sz w:val="16"/>
                <w:szCs w:val="16"/>
                <w:color w:val="auto"/>
              </w:rPr>
              <w:t>o</w:t>
            </w:r>
          </w:p>
        </w:tc>
      </w:tr>
      <w:tr>
        <w:trPr>
          <w:trHeight w:val="213"/>
        </w:trPr>
        <w:tc>
          <w:tcPr>
            <w:tcW w:w="3140" w:type="dxa"/>
            <w:vAlign w:val="bottom"/>
          </w:tcPr>
          <w:p>
            <w:pPr>
              <w:spacing w:after="0"/>
              <w:rPr>
                <w:sz w:val="20"/>
                <w:szCs w:val="20"/>
                <w:color w:val="auto"/>
              </w:rPr>
            </w:pPr>
            <w:r>
              <w:rPr>
                <w:rFonts w:ascii="Arial" w:cs="Arial" w:eastAsia="Arial" w:hAnsi="Arial"/>
                <w:sz w:val="16"/>
                <w:szCs w:val="16"/>
                <w:color w:val="auto"/>
              </w:rPr>
              <w:t>Non-accelerated filer</w:t>
            </w:r>
          </w:p>
        </w:tc>
        <w:tc>
          <w:tcPr>
            <w:tcW w:w="1740" w:type="dxa"/>
            <w:vAlign w:val="bottom"/>
          </w:tcPr>
          <w:p>
            <w:pPr>
              <w:ind w:left="1380"/>
              <w:spacing w:after="0"/>
              <w:rPr>
                <w:sz w:val="20"/>
                <w:szCs w:val="20"/>
                <w:color w:val="auto"/>
              </w:rPr>
            </w:pPr>
            <w:r>
              <w:rPr>
                <w:rFonts w:ascii="Arial" w:cs="Arial" w:eastAsia="Arial" w:hAnsi="Arial"/>
                <w:sz w:val="16"/>
                <w:szCs w:val="16"/>
                <w:color w:val="auto"/>
              </w:rPr>
              <w:t>x</w:t>
            </w:r>
          </w:p>
        </w:tc>
        <w:tc>
          <w:tcPr>
            <w:tcW w:w="3660" w:type="dxa"/>
            <w:vAlign w:val="bottom"/>
          </w:tcPr>
          <w:p>
            <w:pPr>
              <w:ind w:left="280"/>
              <w:spacing w:after="0"/>
              <w:rPr>
                <w:sz w:val="20"/>
                <w:szCs w:val="20"/>
                <w:color w:val="auto"/>
              </w:rPr>
            </w:pPr>
            <w:r>
              <w:rPr>
                <w:rFonts w:ascii="Arial" w:cs="Arial" w:eastAsia="Arial" w:hAnsi="Arial"/>
                <w:sz w:val="16"/>
                <w:szCs w:val="16"/>
                <w:color w:val="auto"/>
              </w:rPr>
              <w:t>Smaller reporting company</w:t>
            </w:r>
          </w:p>
        </w:tc>
        <w:tc>
          <w:tcPr>
            <w:tcW w:w="1720" w:type="dxa"/>
            <w:vAlign w:val="bottom"/>
          </w:tcPr>
          <w:p>
            <w:pPr>
              <w:jc w:val="right"/>
              <w:spacing w:after="0"/>
              <w:rPr>
                <w:sz w:val="20"/>
                <w:szCs w:val="20"/>
                <w:color w:val="auto"/>
              </w:rPr>
            </w:pPr>
            <w:r>
              <w:rPr>
                <w:rFonts w:ascii="Arial" w:cs="Arial" w:eastAsia="Arial" w:hAnsi="Arial"/>
                <w:sz w:val="16"/>
                <w:szCs w:val="16"/>
                <w:color w:val="auto"/>
              </w:rPr>
              <w:t>x</w:t>
            </w:r>
          </w:p>
        </w:tc>
      </w:tr>
      <w:tr>
        <w:trPr>
          <w:trHeight w:val="213"/>
        </w:trPr>
        <w:tc>
          <w:tcPr>
            <w:tcW w:w="31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740" w:type="dxa"/>
            <w:vAlign w:val="bottom"/>
          </w:tcPr>
          <w:p>
            <w:pPr>
              <w:ind w:left="1380"/>
              <w:spacing w:after="0"/>
              <w:rPr>
                <w:sz w:val="20"/>
                <w:szCs w:val="20"/>
                <w:color w:val="auto"/>
              </w:rPr>
            </w:pPr>
            <w:r>
              <w:rPr>
                <w:rFonts w:ascii="Arial" w:cs="Arial" w:eastAsia="Arial" w:hAnsi="Arial"/>
                <w:sz w:val="16"/>
                <w:szCs w:val="16"/>
                <w:color w:val="auto"/>
              </w:rPr>
              <w:t>x</w:t>
            </w:r>
          </w:p>
        </w:tc>
        <w:tc>
          <w:tcPr>
            <w:tcW w:w="366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142" w:lineRule="exact"/>
        <w:rPr>
          <w:sz w:val="24"/>
          <w:szCs w:val="24"/>
          <w:color w:val="auto"/>
        </w:rPr>
      </w:pPr>
    </w:p>
    <w:p>
      <w:pPr>
        <w:ind w:right="180" w:firstLine="479"/>
        <w:spacing w:after="0" w:line="269"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69" w:lineRule="exact"/>
        <w:rPr>
          <w:sz w:val="24"/>
          <w:szCs w:val="24"/>
          <w:color w:val="auto"/>
        </w:rPr>
      </w:pPr>
    </w:p>
    <w:p>
      <w:pPr>
        <w:ind w:left="640"/>
        <w:spacing w:after="0"/>
        <w:rPr>
          <w:sz w:val="20"/>
          <w:szCs w:val="20"/>
          <w:color w:val="auto"/>
        </w:rPr>
      </w:pPr>
      <w:r>
        <w:rPr>
          <w:rFonts w:ascii="Arial" w:cs="Arial" w:eastAsia="Arial" w:hAnsi="Arial"/>
          <w:sz w:val="16"/>
          <w:szCs w:val="16"/>
          <w:color w:val="auto"/>
        </w:rPr>
        <w:t>Yes o No x</w:t>
      </w:r>
    </w:p>
    <w:p>
      <w:pPr>
        <w:spacing w:after="0" w:line="56" w:lineRule="exact"/>
        <w:rPr>
          <w:sz w:val="24"/>
          <w:szCs w:val="24"/>
          <w:color w:val="auto"/>
        </w:rPr>
      </w:pPr>
    </w:p>
    <w:p>
      <w:pPr>
        <w:ind w:right="200" w:firstLine="479"/>
        <w:spacing w:after="0" w:line="287" w:lineRule="auto"/>
        <w:rPr>
          <w:sz w:val="20"/>
          <w:szCs w:val="20"/>
          <w:color w:val="auto"/>
        </w:rPr>
      </w:pPr>
      <w:r>
        <w:rPr>
          <w:rFonts w:ascii="Arial" w:cs="Arial" w:eastAsia="Arial" w:hAnsi="Arial"/>
          <w:sz w:val="16"/>
          <w:szCs w:val="16"/>
          <w:color w:val="auto"/>
        </w:rPr>
        <w:t>As of August 3, 2023, there were 15,342,563 shares and 47,082,260 shares of the registrant’s Class A and Class B common stock, respectively,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390525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452120</wp:posOffset>
            </wp:positionH>
            <wp:positionV relativeFrom="paragraph">
              <wp:posOffset>73660</wp:posOffset>
            </wp:positionV>
            <wp:extent cx="65424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42405" cy="8255"/>
                    </a:xfrm>
                    <a:prstGeom prst="rect">
                      <a:avLst/>
                    </a:prstGeom>
                    <a:noFill/>
                  </pic:spPr>
                </pic:pic>
              </a:graphicData>
            </a:graphic>
          </wp:anchor>
        </w:drawing>
        <w:drawing>
          <wp:anchor simplePos="0" relativeHeight="251657728" behindDoc="1" locked="0" layoutInCell="0" allowOverlap="1">
            <wp:simplePos x="0" y="0"/>
            <wp:positionH relativeFrom="column">
              <wp:posOffset>452120</wp:posOffset>
            </wp:positionH>
            <wp:positionV relativeFrom="paragraph">
              <wp:posOffset>99060</wp:posOffset>
            </wp:positionV>
            <wp:extent cx="6542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ectPr>
          <w:pgSz w:w="11900" w:h="16838" w:orient="portrait"/>
          <w:cols w:equalWidth="0" w:num="1">
            <w:col w:w="11160"/>
          </w:cols>
          <w:pgMar w:left="320" w:top="911" w:right="419" w:bottom="1440" w:gutter="0" w:footer="0" w:header="0"/>
          <w:type w:val="continuous"/>
        </w:sectPr>
      </w:pPr>
    </w:p>
    <w:bookmarkStart w:id="1" w:name="page2"/>
    <w:bookmarkEnd w:id="1"/>
    <w:p>
      <w:pPr>
        <w:jc w:val="center"/>
        <w:ind w:left="460"/>
        <w:spacing w:after="0"/>
        <w:rPr>
          <w:sz w:val="20"/>
          <w:szCs w:val="20"/>
          <w:color w:val="auto"/>
        </w:rPr>
      </w:pPr>
      <w:r>
        <w:rPr>
          <w:rFonts w:ascii="Arial" w:cs="Arial" w:eastAsia="Arial" w:hAnsi="Arial"/>
          <w:sz w:val="18"/>
          <w:szCs w:val="18"/>
          <w:b w:val="1"/>
          <w:bCs w:val="1"/>
          <w:color w:val="auto"/>
        </w:rPr>
        <w:t>TABLE OF CONTENTS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Page</w:t>
            </w:r>
          </w:p>
        </w:tc>
      </w:tr>
      <w:tr>
        <w:trPr>
          <w:trHeight w:val="25"/>
        </w:trPr>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433"/>
        </w:trPr>
        <w:tc>
          <w:tcPr>
            <w:tcW w:w="500" w:type="dxa"/>
            <w:vAlign w:val="bottom"/>
          </w:tcPr>
          <w:p>
            <w:pPr>
              <w:spacing w:after="0"/>
              <w:rPr>
                <w:sz w:val="24"/>
                <w:szCs w:val="24"/>
                <w:color w:val="auto"/>
              </w:rPr>
            </w:pPr>
          </w:p>
        </w:tc>
        <w:tc>
          <w:tcPr>
            <w:tcW w:w="9740" w:type="dxa"/>
            <w:vAlign w:val="bottom"/>
            <w:gridSpan w:val="23"/>
          </w:tcPr>
          <w:p>
            <w:pPr>
              <w:spacing w:after="0"/>
              <w:rPr>
                <w:sz w:val="20"/>
                <w:szCs w:val="20"/>
                <w:color w:val="auto"/>
              </w:rPr>
            </w:pPr>
            <w:r>
              <w:rPr>
                <w:rFonts w:ascii="Arial" w:cs="Arial" w:eastAsia="Arial" w:hAnsi="Arial"/>
                <w:sz w:val="18"/>
                <w:szCs w:val="18"/>
                <w:color w:val="0000FF"/>
              </w:rPr>
              <w:t>Special Note Regarding Forward-Looking Statements</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4"/>
                <w:szCs w:val="24"/>
                <w:color w:val="auto"/>
              </w:rPr>
            </w:pPr>
          </w:p>
        </w:tc>
      </w:tr>
      <w:tr>
        <w:trPr>
          <w:trHeight w:val="353"/>
        </w:trPr>
        <w:tc>
          <w:tcPr>
            <w:tcW w:w="500" w:type="dxa"/>
            <w:vAlign w:val="bottom"/>
          </w:tcPr>
          <w:p>
            <w:pPr>
              <w:spacing w:after="0"/>
              <w:rPr>
                <w:sz w:val="24"/>
                <w:szCs w:val="24"/>
                <w:color w:val="auto"/>
              </w:rPr>
            </w:pPr>
          </w:p>
        </w:tc>
        <w:tc>
          <w:tcPr>
            <w:tcW w:w="106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auto"/>
              </w:rPr>
              <w:t>PART I.</w:t>
            </w:r>
          </w:p>
        </w:tc>
        <w:tc>
          <w:tcPr>
            <w:tcW w:w="276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FINANCIAL INFORMATION</w:t>
            </w:r>
          </w:p>
        </w:tc>
        <w:tc>
          <w:tcPr>
            <w:tcW w:w="5920" w:type="dxa"/>
            <w:vAlign w:val="bottom"/>
            <w:gridSpan w:val="9"/>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6"/>
        </w:trPr>
        <w:tc>
          <w:tcPr>
            <w:tcW w:w="5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8"/>
              </w:rPr>
              <w:t>Financial Statements</w:t>
            </w:r>
          </w:p>
        </w:tc>
        <w:tc>
          <w:tcPr>
            <w:tcW w:w="720" w:type="dxa"/>
            <w:vAlign w:val="bottom"/>
            <w:tcBorders>
              <w:top w:val="single" w:sz="8" w:color="0000FF"/>
            </w:tcBorders>
            <w:gridSpan w:val="3"/>
          </w:tcPr>
          <w:p>
            <w:pPr>
              <w:spacing w:after="0"/>
              <w:rPr>
                <w:sz w:val="17"/>
                <w:szCs w:val="17"/>
                <w:color w:val="auto"/>
              </w:rPr>
            </w:pPr>
          </w:p>
        </w:tc>
        <w:tc>
          <w:tcPr>
            <w:tcW w:w="6460" w:type="dxa"/>
            <w:vAlign w:val="bottom"/>
            <w:gridSpan w:val="11"/>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7"/>
                <w:szCs w:val="17"/>
                <w:color w:val="auto"/>
              </w:rPr>
            </w:pPr>
          </w:p>
        </w:tc>
      </w:tr>
      <w:tr>
        <w:trPr>
          <w:trHeight w:val="233"/>
        </w:trPr>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80" w:type="dxa"/>
            <w:vAlign w:val="bottom"/>
            <w:gridSpan w:val="21"/>
          </w:tcPr>
          <w:p>
            <w:pPr>
              <w:ind w:left="1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color w:val="0000FF"/>
              </w:rPr>
              <w:t>Condensed Consolidated Statements of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3"/>
        </w:trPr>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80" w:type="dxa"/>
            <w:vAlign w:val="bottom"/>
            <w:gridSpan w:val="21"/>
          </w:tcPr>
          <w:p>
            <w:pPr>
              <w:ind w:left="12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color w:val="0000FF"/>
              </w:rPr>
              <w:t>Condensed Consolidated Balance Sheets</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80" w:type="dxa"/>
            <w:vAlign w:val="bottom"/>
            <w:gridSpan w:val="21"/>
          </w:tcPr>
          <w:p>
            <w:pPr>
              <w:ind w:left="12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color w:val="0000FF"/>
              </w:rPr>
              <w:t>Condensed Consolidated Statements of Equity</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80" w:type="dxa"/>
            <w:vAlign w:val="bottom"/>
            <w:gridSpan w:val="21"/>
          </w:tcPr>
          <w:p>
            <w:pPr>
              <w:ind w:left="12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color w:val="0000FF"/>
              </w:rPr>
              <w:t>Condensed Consolidated Statements of Cash Flows</w:t>
            </w: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0"/>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80" w:type="dxa"/>
            <w:vAlign w:val="bottom"/>
            <w:gridSpan w:val="21"/>
          </w:tcPr>
          <w:p>
            <w:pPr>
              <w:ind w:left="12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color w:val="0000FF"/>
              </w:rPr>
              <w:t>Notes to the Condensed Consolidated Financial Statements</w:t>
            </w: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6"/>
        </w:trPr>
        <w:tc>
          <w:tcPr>
            <w:tcW w:w="5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8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7"/>
                <w:szCs w:val="17"/>
                <w:color w:val="auto"/>
              </w:rPr>
            </w:pPr>
          </w:p>
        </w:tc>
      </w:tr>
      <w:tr>
        <w:trPr>
          <w:trHeight w:val="206"/>
        </w:trPr>
        <w:tc>
          <w:tcPr>
            <w:tcW w:w="5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040" w:type="dxa"/>
            <w:vAlign w:val="bottom"/>
            <w:tcBorders>
              <w:top w:val="single" w:sz="8" w:color="0000FF"/>
            </w:tcBorders>
            <w:gridSpan w:val="2"/>
          </w:tcPr>
          <w:p>
            <w:pPr>
              <w:spacing w:after="0"/>
              <w:rPr>
                <w:sz w:val="17"/>
                <w:szCs w:val="17"/>
                <w:color w:val="auto"/>
              </w:rPr>
            </w:pPr>
          </w:p>
        </w:tc>
        <w:tc>
          <w:tcPr>
            <w:tcW w:w="2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7"/>
                <w:szCs w:val="17"/>
                <w:color w:val="auto"/>
              </w:rPr>
            </w:pPr>
          </w:p>
        </w:tc>
      </w:tr>
      <w:tr>
        <w:trPr>
          <w:trHeight w:val="220"/>
        </w:trPr>
        <w:tc>
          <w:tcPr>
            <w:tcW w:w="5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7"/>
              </w:rPr>
              <w:t>Controls and Procedures</w:t>
            </w:r>
          </w:p>
        </w:tc>
        <w:tc>
          <w:tcPr>
            <w:tcW w:w="6920" w:type="dxa"/>
            <w:vAlign w:val="bottom"/>
            <w:gridSpan w:val="13"/>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9"/>
                <w:szCs w:val="19"/>
                <w:color w:val="auto"/>
              </w:rPr>
            </w:pPr>
          </w:p>
        </w:tc>
      </w:tr>
      <w:tr>
        <w:trPr>
          <w:trHeight w:val="353"/>
        </w:trPr>
        <w:tc>
          <w:tcPr>
            <w:tcW w:w="50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868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24"/>
                <w:szCs w:val="24"/>
                <w:color w:val="auto"/>
              </w:rPr>
            </w:pPr>
          </w:p>
        </w:tc>
      </w:tr>
      <w:tr>
        <w:trPr>
          <w:trHeight w:val="206"/>
        </w:trPr>
        <w:tc>
          <w:tcPr>
            <w:tcW w:w="5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8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Legal Proceedings</w:t>
            </w:r>
          </w:p>
        </w:tc>
        <w:tc>
          <w:tcPr>
            <w:tcW w:w="6820" w:type="dxa"/>
            <w:vAlign w:val="bottom"/>
            <w:gridSpan w:val="12"/>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17"/>
                <w:szCs w:val="17"/>
                <w:color w:val="auto"/>
              </w:rPr>
            </w:pPr>
          </w:p>
        </w:tc>
      </w:tr>
      <w:tr>
        <w:trPr>
          <w:trHeight w:val="206"/>
        </w:trPr>
        <w:tc>
          <w:tcPr>
            <w:tcW w:w="5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Risk Factors</w:t>
            </w:r>
          </w:p>
        </w:tc>
        <w:tc>
          <w:tcPr>
            <w:tcW w:w="7360" w:type="dxa"/>
            <w:vAlign w:val="bottom"/>
            <w:gridSpan w:val="15"/>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0"/>
        </w:trPr>
        <w:tc>
          <w:tcPr>
            <w:tcW w:w="5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Unregistered Sales of Equity Securities and Use of Proceeds</w:t>
            </w:r>
          </w:p>
        </w:tc>
        <w:tc>
          <w:tcPr>
            <w:tcW w:w="4380" w:type="dxa"/>
            <w:vAlign w:val="bottom"/>
            <w:gridSpan w:val="4"/>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19"/>
                <w:szCs w:val="19"/>
                <w:color w:val="auto"/>
              </w:rPr>
            </w:pPr>
          </w:p>
        </w:tc>
      </w:tr>
      <w:tr>
        <w:trPr>
          <w:trHeight w:val="206"/>
        </w:trPr>
        <w:tc>
          <w:tcPr>
            <w:tcW w:w="5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680" w:type="dxa"/>
            <w:vAlign w:val="bottom"/>
            <w:gridSpan w:val="21"/>
          </w:tcPr>
          <w:p>
            <w:pPr>
              <w:spacing w:after="0"/>
              <w:rPr>
                <w:sz w:val="20"/>
                <w:szCs w:val="20"/>
                <w:color w:val="auto"/>
              </w:rPr>
            </w:pPr>
            <w:r>
              <w:rPr>
                <w:rFonts w:ascii="Arial" w:cs="Arial" w:eastAsia="Arial" w:hAnsi="Arial"/>
                <w:sz w:val="18"/>
                <w:szCs w:val="18"/>
                <w:color w:val="0000FF"/>
              </w:rPr>
              <w:t>Defaults Upon Senior Securities</w:t>
            </w: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17"/>
                <w:szCs w:val="17"/>
                <w:color w:val="auto"/>
              </w:rPr>
            </w:pPr>
          </w:p>
        </w:tc>
      </w:tr>
      <w:tr>
        <w:trPr>
          <w:trHeight w:val="206"/>
        </w:trPr>
        <w:tc>
          <w:tcPr>
            <w:tcW w:w="5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0"/>
              </w:rPr>
              <w:t>Mine Safety Disclosures</w:t>
            </w:r>
          </w:p>
        </w:tc>
        <w:tc>
          <w:tcPr>
            <w:tcW w:w="540" w:type="dxa"/>
            <w:vAlign w:val="bottom"/>
            <w:tcBorders>
              <w:top w:val="single" w:sz="8" w:color="0000FF"/>
            </w:tcBorders>
            <w:gridSpan w:val="3"/>
          </w:tcPr>
          <w:p>
            <w:pPr>
              <w:spacing w:after="0"/>
              <w:rPr>
                <w:sz w:val="17"/>
                <w:szCs w:val="17"/>
                <w:color w:val="auto"/>
              </w:rPr>
            </w:pPr>
          </w:p>
        </w:tc>
        <w:tc>
          <w:tcPr>
            <w:tcW w:w="6380" w:type="dxa"/>
            <w:vAlign w:val="bottom"/>
            <w:gridSpan w:val="10"/>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17"/>
                <w:szCs w:val="17"/>
                <w:color w:val="auto"/>
              </w:rPr>
            </w:pPr>
          </w:p>
        </w:tc>
      </w:tr>
      <w:tr>
        <w:trPr>
          <w:trHeight w:val="220"/>
        </w:trPr>
        <w:tc>
          <w:tcPr>
            <w:tcW w:w="5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68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19"/>
                <w:szCs w:val="19"/>
                <w:color w:val="auto"/>
              </w:rPr>
            </w:pPr>
          </w:p>
        </w:tc>
      </w:tr>
      <w:tr>
        <w:trPr>
          <w:trHeight w:val="206"/>
        </w:trPr>
        <w:tc>
          <w:tcPr>
            <w:tcW w:w="5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Exhibits</w:t>
            </w:r>
          </w:p>
        </w:tc>
        <w:tc>
          <w:tcPr>
            <w:tcW w:w="7380" w:type="dxa"/>
            <w:vAlign w:val="bottom"/>
            <w:gridSpan w:val="16"/>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460" w:type="dxa"/>
            <w:vAlign w:val="bottom"/>
          </w:tcPr>
          <w:p>
            <w:pPr>
              <w:spacing w:after="0"/>
              <w:rPr>
                <w:sz w:val="17"/>
                <w:szCs w:val="17"/>
                <w:color w:val="auto"/>
              </w:rPr>
            </w:pPr>
          </w:p>
        </w:tc>
      </w:tr>
      <w:tr>
        <w:trPr>
          <w:trHeight w:val="353"/>
        </w:trPr>
        <w:tc>
          <w:tcPr>
            <w:tcW w:w="50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4"/>
                <w:szCs w:val="24"/>
                <w:color w:val="auto"/>
              </w:rPr>
            </w:pPr>
          </w:p>
        </w:tc>
      </w:tr>
      <w:tr>
        <w:trPr>
          <w:trHeight w:val="911"/>
        </w:trPr>
        <w:tc>
          <w:tcPr>
            <w:tcW w:w="50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640" w:type="dxa"/>
            <w:vAlign w:val="bottom"/>
            <w:gridSpan w:val="19"/>
          </w:tcPr>
          <w:p>
            <w:pPr>
              <w:ind w:left="42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14"/>
        </w:trPr>
        <w:tc>
          <w:tcPr>
            <w:tcW w:w="5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 w:name="page3"/>
    <w:bookmarkEnd w:id="2"/>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Special Note Regarding Forward-Looking Statements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This Quarterly Report contains forward-looking statements within the meaning of Section 27A of the Securities Act of 1933, as amended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w:t>
      </w:r>
      <w:r>
        <w:rPr>
          <w:rFonts w:ascii="Arial" w:cs="Arial" w:eastAsia="Arial" w:hAnsi="Arial"/>
          <w:sz w:val="16"/>
          <w:szCs w:val="16"/>
          <w:i w:val="1"/>
          <w:iCs w:val="1"/>
          <w:color w:val="000000"/>
        </w:rPr>
        <w:t>Securities Act</w:t>
      </w:r>
      <w:r>
        <w:rPr>
          <w:rFonts w:ascii="Arial" w:cs="Arial" w:eastAsia="Arial" w:hAnsi="Arial"/>
          <w:sz w:val="16"/>
          <w:szCs w:val="16"/>
          <w:i w:val="1"/>
          <w:iCs w:val="1"/>
          <w:color w:val="231F20"/>
        </w:rPr>
        <w:t>”</w:t>
      </w:r>
      <w:r>
        <w:rPr>
          <w:rFonts w:ascii="Arial" w:cs="Arial" w:eastAsia="Arial" w:hAnsi="Arial"/>
          <w:sz w:val="16"/>
          <w:szCs w:val="16"/>
          <w:i w:val="1"/>
          <w:iCs w:val="1"/>
          <w:color w:val="000000"/>
        </w:rPr>
        <w:t>), and Section 21E of the Securities Exchange Act of 1934, as amended (the “Exchange Act”), which statements involve substantial risks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uncertainties. In some cases, you can identify forward-looking statements by words such as “may,” “will,” “should,” “could,” “intend,” “consider,”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 “plan,” “anticipate,” “believe,” “estimate,” “predict” or “continue” or the negative or plural of these words or other similar terms or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expressions. All statements other than statements of historical fact are forward-looking statements, which speak only as of the date they are made, and are not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guarantees of future performance. Forward-looking statements contained in this Quarterly Report include, but are not limited to, statements about: our future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performance, including our revenue, cost of revenue, gross profit, contribution excluding traffic acquisition costs (“contribution ex-TAC”), adjusted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EBITDA, and operating expenses; trends in our key business measures; the sufficiency of our cash and cash equivalents and cash provided by sales of our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products and services to meet our liquidity needs; market trends; our market position and opportunity; our growth strategy and business aspirations for our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demand side platform in enabling the programmatic purchase of advertising in the digital advertising industry; our product strategy; our efforts to enhance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security and privacy of our platform; the potential impacts of macroeconomic and geopolitical events, the business of our customers, suppliers and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channel partners, and the economy; our ability to attract new customers and retain existing customers; our ability to successfully expand into our existing</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markets and into new markets; our ability to effectively manage our growth and future expenses; and the impact of recent accounting pronouncements on our</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condensed consolidated financial statements.</w:t>
      </w:r>
    </w:p>
    <w:p>
      <w:pPr>
        <w:spacing w:after="0" w:line="101" w:lineRule="exact"/>
        <w:rPr>
          <w:sz w:val="20"/>
          <w:szCs w:val="20"/>
          <w:color w:val="auto"/>
        </w:rPr>
      </w:pPr>
    </w:p>
    <w:p>
      <w:pPr>
        <w:ind w:right="100" w:firstLine="479"/>
        <w:spacing w:after="0" w:line="283" w:lineRule="auto"/>
        <w:rPr>
          <w:sz w:val="20"/>
          <w:szCs w:val="20"/>
          <w:color w:val="auto"/>
        </w:rPr>
      </w:pPr>
      <w:r>
        <w:rPr>
          <w:rFonts w:ascii="Arial" w:cs="Arial" w:eastAsia="Arial" w:hAnsi="Arial"/>
          <w:sz w:val="16"/>
          <w:szCs w:val="16"/>
          <w:i w:val="1"/>
          <w:iCs w:val="1"/>
          <w:color w:val="auto"/>
        </w:rPr>
        <w:t>The forward-looking statements contained in this Quarterly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“Risk Factors” in this Quarterly Report.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in this Quarterly Report speaks only as of the date on which we make it. We undertake no obligation to publicly update any forward-looking statement, whether as a result of new information, future developments or otherwise, except as may be required by applicable securities laws.</w:t>
      </w:r>
    </w:p>
    <w:p>
      <w:pPr>
        <w:spacing w:after="0" w:line="38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PART I — FINANCIAL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VIANT TECHNOLOGY INC.</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 in thousands, except per share data)</w:t>
      </w:r>
    </w:p>
    <w:p>
      <w:pPr>
        <w:spacing w:after="0" w:line="213"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gridSpan w:val="4"/>
          </w:tcPr>
          <w:p>
            <w:pPr>
              <w:jc w:val="right"/>
              <w:ind w:right="61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5"/>
        </w:trPr>
        <w:tc>
          <w:tcPr>
            <w:tcW w:w="4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93,829</w:t>
            </w:r>
          </w:p>
        </w:tc>
        <w:tc>
          <w:tcPr>
            <w:tcW w:w="0" w:type="dxa"/>
            <w:vAlign w:val="bottom"/>
          </w:tcPr>
          <w:p>
            <w:pPr>
              <w:spacing w:after="0"/>
              <w:rPr>
                <w:sz w:val="1"/>
                <w:szCs w:val="1"/>
                <w:color w:val="auto"/>
              </w:rPr>
            </w:pPr>
          </w:p>
        </w:tc>
      </w:tr>
      <w:tr>
        <w:trPr>
          <w:trHeight w:val="232"/>
        </w:trPr>
        <w:tc>
          <w:tcPr>
            <w:tcW w:w="4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Platform operations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57,144</w:t>
            </w:r>
          </w:p>
        </w:tc>
        <w:tc>
          <w:tcPr>
            <w:tcW w:w="0" w:type="dxa"/>
            <w:vAlign w:val="bottom"/>
          </w:tcPr>
          <w:p>
            <w:pPr>
              <w:spacing w:after="0"/>
              <w:rPr>
                <w:sz w:val="1"/>
                <w:szCs w:val="1"/>
                <w:color w:val="auto"/>
              </w:rPr>
            </w:pPr>
          </w:p>
        </w:tc>
      </w:tr>
      <w:tr>
        <w:trPr>
          <w:trHeight w:val="226"/>
        </w:trPr>
        <w:tc>
          <w:tcPr>
            <w:tcW w:w="458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31,042</w:t>
            </w:r>
          </w:p>
        </w:tc>
        <w:tc>
          <w:tcPr>
            <w:tcW w:w="0" w:type="dxa"/>
            <w:vAlign w:val="bottom"/>
          </w:tcPr>
          <w:p>
            <w:pPr>
              <w:spacing w:after="0"/>
              <w:rPr>
                <w:sz w:val="1"/>
                <w:szCs w:val="1"/>
                <w:color w:val="auto"/>
              </w:rPr>
            </w:pPr>
          </w:p>
        </w:tc>
      </w:tr>
      <w:tr>
        <w:trPr>
          <w:trHeight w:val="240"/>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Technology and development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w:t>
            </w:r>
          </w:p>
        </w:tc>
        <w:tc>
          <w:tcPr>
            <w:tcW w:w="0" w:type="dxa"/>
            <w:vAlign w:val="bottom"/>
          </w:tcPr>
          <w:p>
            <w:pPr>
              <w:spacing w:after="0"/>
              <w:rPr>
                <w:sz w:val="1"/>
                <w:szCs w:val="1"/>
                <w:color w:val="auto"/>
              </w:rPr>
            </w:pPr>
          </w:p>
        </w:tc>
      </w:tr>
      <w:tr>
        <w:trPr>
          <w:trHeight w:val="226"/>
        </w:trPr>
        <w:tc>
          <w:tcPr>
            <w:tcW w:w="45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22,808</w:t>
            </w:r>
          </w:p>
        </w:tc>
        <w:tc>
          <w:tcPr>
            <w:tcW w:w="0" w:type="dxa"/>
            <w:vAlign w:val="bottom"/>
          </w:tcPr>
          <w:p>
            <w:pPr>
              <w:spacing w:after="0"/>
              <w:rPr>
                <w:sz w:val="1"/>
                <w:szCs w:val="1"/>
                <w:color w:val="auto"/>
              </w:rPr>
            </w:pPr>
          </w:p>
        </w:tc>
      </w:tr>
      <w:tr>
        <w:trPr>
          <w:trHeight w:val="22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62,474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115,302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121,008</w:t>
            </w:r>
          </w:p>
        </w:tc>
        <w:tc>
          <w:tcPr>
            <w:tcW w:w="0" w:type="dxa"/>
            <w:vAlign w:val="bottom"/>
          </w:tcPr>
          <w:p>
            <w:pPr>
              <w:spacing w:after="0"/>
              <w:rPr>
                <w:sz w:val="1"/>
                <w:szCs w:val="1"/>
                <w:color w:val="auto"/>
              </w:rPr>
            </w:pPr>
          </w:p>
        </w:tc>
      </w:tr>
      <w:tr>
        <w:trPr>
          <w:trHeight w:val="23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(13,772)</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(27,179)</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(income),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6"/>
        </w:trPr>
        <w:tc>
          <w:tcPr>
            <w:tcW w:w="45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0"/>
        </w:trPr>
        <w:tc>
          <w:tcPr>
            <w:tcW w:w="4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(27,655)</w:t>
            </w:r>
          </w:p>
        </w:tc>
        <w:tc>
          <w:tcPr>
            <w:tcW w:w="0" w:type="dxa"/>
            <w:vAlign w:val="bottom"/>
          </w:tcPr>
          <w:p>
            <w:pPr>
              <w:spacing w:after="0"/>
              <w:rPr>
                <w:sz w:val="1"/>
                <w:szCs w:val="1"/>
                <w:color w:val="auto"/>
              </w:rPr>
            </w:pPr>
          </w:p>
        </w:tc>
      </w:tr>
      <w:tr>
        <w:trPr>
          <w:trHeight w:val="24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(10,691)</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(21,062)</w:t>
            </w:r>
          </w:p>
        </w:tc>
        <w:tc>
          <w:tcPr>
            <w:tcW w:w="0" w:type="dxa"/>
            <w:vAlign w:val="bottom"/>
          </w:tcPr>
          <w:p>
            <w:pPr>
              <w:spacing w:after="0"/>
              <w:rPr>
                <w:sz w:val="1"/>
                <w:szCs w:val="1"/>
                <w:color w:val="auto"/>
              </w:rPr>
            </w:pPr>
          </w:p>
        </w:tc>
      </w:tr>
      <w:tr>
        <w:trPr>
          <w:trHeight w:val="220"/>
        </w:trPr>
        <w:tc>
          <w:tcPr>
            <w:tcW w:w="4580" w:type="dxa"/>
            <w:vAlign w:val="bottom"/>
          </w:tcPr>
          <w:p>
            <w:pPr>
              <w:ind w:left="20"/>
              <w:spacing w:after="0"/>
              <w:rPr>
                <w:sz w:val="20"/>
                <w:szCs w:val="20"/>
                <w:color w:val="auto"/>
              </w:rPr>
            </w:pPr>
            <w:r>
              <w:rPr>
                <w:rFonts w:ascii="Arial" w:cs="Arial" w:eastAsia="Arial" w:hAnsi="Arial"/>
                <w:sz w:val="18"/>
                <w:szCs w:val="18"/>
                <w:color w:val="auto"/>
              </w:rPr>
              <w:t>Net loss attributable to Viant Technology Inc.</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(3,401)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(3,543)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8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color w:val="auto"/>
              </w:rPr>
              <w:t>Loss per share of Class A common stock:</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580" w:type="dxa"/>
            <w:vAlign w:val="bottom"/>
          </w:tcPr>
          <w:p>
            <w:pPr>
              <w:ind w:left="2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(0.07)</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87"/>
              </w:rPr>
              <w:t>Weighted-average shares of Class A common stock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5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80" w:type="dxa"/>
            <w:vAlign w:val="bottom"/>
          </w:tcPr>
          <w:p>
            <w:pPr>
              <w:ind w:left="260"/>
              <w:spacing w:after="0" w:line="200"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15,135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14,114</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14,943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13,962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66675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540"/>
          </w:cols>
          <w:pgMar w:left="800" w:top="1346" w:right="5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(unaudited; in thousands, except share and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71"/>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17"/>
                <w:szCs w:val="17"/>
                <w:color w:val="auto"/>
              </w:rPr>
            </w:pPr>
          </w:p>
        </w:tc>
        <w:tc>
          <w:tcPr>
            <w:tcW w:w="138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1"/>
              </w:rPr>
              <w:t>As of December</w:t>
            </w:r>
          </w:p>
        </w:tc>
      </w:tr>
      <w:tr>
        <w:trPr>
          <w:trHeight w:val="235"/>
        </w:trPr>
        <w:tc>
          <w:tcPr>
            <w:tcW w:w="7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31,</w:t>
            </w:r>
          </w:p>
        </w:tc>
      </w:tr>
      <w:tr>
        <w:trPr>
          <w:trHeight w:val="224"/>
        </w:trPr>
        <w:tc>
          <w:tcPr>
            <w:tcW w:w="7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9"/>
              </w:rPr>
              <w:t>2023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74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203,901</w:t>
            </w:r>
          </w:p>
        </w:tc>
        <w:tc>
          <w:tcPr>
            <w:tcW w:w="3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206,573</w:t>
            </w:r>
          </w:p>
        </w:tc>
      </w:tr>
      <w:tr>
        <w:trPr>
          <w:trHeight w:val="232"/>
        </w:trPr>
        <w:tc>
          <w:tcPr>
            <w:tcW w:w="7460" w:type="dxa"/>
            <w:vAlign w:val="bottom"/>
          </w:tcPr>
          <w:p>
            <w:pPr>
              <w:ind w:left="260"/>
              <w:spacing w:after="0"/>
              <w:rPr>
                <w:sz w:val="20"/>
                <w:szCs w:val="20"/>
                <w:color w:val="auto"/>
              </w:rPr>
            </w:pPr>
            <w:r>
              <w:rPr>
                <w:rFonts w:ascii="Arial" w:cs="Arial" w:eastAsia="Arial" w:hAnsi="Arial"/>
                <w:sz w:val="18"/>
                <w:szCs w:val="18"/>
                <w:color w:val="auto"/>
              </w:rPr>
              <w:t>Accounts receivable, net of allowances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89,967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101,658</w:t>
            </w:r>
          </w:p>
        </w:tc>
      </w:tr>
      <w:tr>
        <w:trPr>
          <w:trHeight w:val="233"/>
        </w:trPr>
        <w:tc>
          <w:tcPr>
            <w:tcW w:w="7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6,631</w:t>
            </w:r>
          </w:p>
        </w:tc>
      </w:tr>
      <w:tr>
        <w:trPr>
          <w:trHeight w:val="220"/>
        </w:trPr>
        <w:tc>
          <w:tcPr>
            <w:tcW w:w="74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298,058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314,862</w:t>
            </w:r>
          </w:p>
        </w:tc>
      </w:tr>
      <w:tr>
        <w:trPr>
          <w:trHeight w:val="24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23,106</w:t>
            </w:r>
          </w:p>
        </w:tc>
      </w:tr>
      <w:tr>
        <w:trPr>
          <w:trHeight w:val="226"/>
        </w:trPr>
        <w:tc>
          <w:tcPr>
            <w:tcW w:w="746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26,441</w:t>
            </w:r>
          </w:p>
        </w:tc>
      </w:tr>
      <w:tr>
        <w:trPr>
          <w:trHeight w:val="227"/>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32"/>
        </w:trPr>
        <w:tc>
          <w:tcPr>
            <w:tcW w:w="74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12,422</w:t>
            </w:r>
          </w:p>
        </w:tc>
      </w:tr>
      <w:tr>
        <w:trPr>
          <w:trHeight w:val="233"/>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0"/>
        </w:trPr>
        <w:tc>
          <w:tcPr>
            <w:tcW w:w="7460" w:type="dxa"/>
            <w:vAlign w:val="bottom"/>
          </w:tcPr>
          <w:p>
            <w:pPr>
              <w:ind w:left="98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361,455</w:t>
            </w:r>
          </w:p>
        </w:tc>
        <w:tc>
          <w:tcPr>
            <w:tcW w:w="38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377,883</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0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6"/>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2"/>
        </w:trPr>
        <w:tc>
          <w:tcPr>
            <w:tcW w:w="74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31,765</w:t>
            </w:r>
          </w:p>
        </w:tc>
        <w:tc>
          <w:tcPr>
            <w:tcW w:w="38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37,063</w:t>
            </w:r>
          </w:p>
        </w:tc>
      </w:tr>
      <w:tr>
        <w:trPr>
          <w:trHeight w:val="234"/>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35,063</w:t>
            </w:r>
          </w:p>
        </w:tc>
      </w:tr>
      <w:tr>
        <w:trPr>
          <w:trHeight w:val="226"/>
        </w:trPr>
        <w:tc>
          <w:tcPr>
            <w:tcW w:w="746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9,162</w:t>
            </w:r>
          </w:p>
        </w:tc>
      </w:tr>
      <w:tr>
        <w:trPr>
          <w:trHeight w:val="240"/>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portion of deferred revenue</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6"/>
        </w:trPr>
        <w:tc>
          <w:tcPr>
            <w:tcW w:w="746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3,711</w:t>
            </w:r>
          </w:p>
        </w:tc>
      </w:tr>
      <w:tr>
        <w:trPr>
          <w:trHeight w:val="227"/>
        </w:trPr>
        <w:tc>
          <w:tcPr>
            <w:tcW w:w="7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26"/>
        </w:trPr>
        <w:tc>
          <w:tcPr>
            <w:tcW w:w="74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74,066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87,117</w:t>
            </w:r>
          </w:p>
        </w:tc>
      </w:tr>
      <w:tr>
        <w:trPr>
          <w:trHeight w:val="234"/>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portion of operating lease liabilities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24,998</w:t>
            </w:r>
          </w:p>
        </w:tc>
      </w:tr>
      <w:tr>
        <w:trPr>
          <w:trHeight w:val="220"/>
        </w:trPr>
        <w:tc>
          <w:tcPr>
            <w:tcW w:w="74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97,400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112,115</w:t>
            </w:r>
          </w:p>
        </w:tc>
      </w:tr>
      <w:tr>
        <w:trPr>
          <w:trHeight w:val="220"/>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2"/>
        </w:trPr>
        <w:tc>
          <w:tcPr>
            <w:tcW w:w="7460" w:type="dxa"/>
            <w:vAlign w:val="bottom"/>
          </w:tcPr>
          <w:p>
            <w:pPr>
              <w:ind w:left="20"/>
              <w:spacing w:after="0"/>
              <w:rPr>
                <w:sz w:val="20"/>
                <w:szCs w:val="20"/>
                <w:color w:val="auto"/>
              </w:rPr>
            </w:pPr>
            <w:r>
              <w:rPr>
                <w:rFonts w:ascii="Arial" w:cs="Arial" w:eastAsia="Arial" w:hAnsi="Arial"/>
                <w:sz w:val="18"/>
                <w:szCs w:val="18"/>
                <w:color w:val="auto"/>
              </w:rPr>
              <w:t>Preferred stock, $0.001 par value</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4"/>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Authorized shares — 10,000,000</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6"/>
        </w:trPr>
        <w:tc>
          <w:tcPr>
            <w:tcW w:w="7460" w:type="dxa"/>
            <w:vAlign w:val="bottom"/>
          </w:tcPr>
          <w:p>
            <w:pPr>
              <w:ind w:left="260"/>
              <w:spacing w:after="0"/>
              <w:rPr>
                <w:sz w:val="20"/>
                <w:szCs w:val="20"/>
                <w:color w:val="auto"/>
              </w:rPr>
            </w:pPr>
            <w:r>
              <w:rPr>
                <w:rFonts w:ascii="Arial" w:cs="Arial" w:eastAsia="Arial" w:hAnsi="Arial"/>
                <w:sz w:val="18"/>
                <w:szCs w:val="18"/>
                <w:color w:val="auto"/>
              </w:rPr>
              <w:t>Issued and outstanding — none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$0.001 par value</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6"/>
        </w:trPr>
        <w:tc>
          <w:tcPr>
            <w:tcW w:w="7460" w:type="dxa"/>
            <w:vAlign w:val="bottom"/>
          </w:tcPr>
          <w:p>
            <w:pPr>
              <w:ind w:left="260"/>
              <w:spacing w:after="0"/>
              <w:rPr>
                <w:sz w:val="20"/>
                <w:szCs w:val="20"/>
                <w:color w:val="auto"/>
              </w:rPr>
            </w:pPr>
            <w:r>
              <w:rPr>
                <w:rFonts w:ascii="Arial" w:cs="Arial" w:eastAsia="Arial" w:hAnsi="Arial"/>
                <w:sz w:val="18"/>
                <w:szCs w:val="18"/>
                <w:color w:val="auto"/>
              </w:rPr>
              <w:t>Authorized shares — 450,000,000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Issued — 15,598,505 and 14,783,886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2"/>
        </w:trPr>
        <w:tc>
          <w:tcPr>
            <w:tcW w:w="7460" w:type="dxa"/>
            <w:vAlign w:val="bottom"/>
          </w:tcPr>
          <w:p>
            <w:pPr>
              <w:ind w:left="220"/>
              <w:spacing w:after="0"/>
              <w:rPr>
                <w:sz w:val="20"/>
                <w:szCs w:val="20"/>
                <w:color w:val="auto"/>
              </w:rPr>
            </w:pPr>
            <w:r>
              <w:rPr>
                <w:rFonts w:ascii="Arial" w:cs="Arial" w:eastAsia="Arial" w:hAnsi="Arial"/>
                <w:sz w:val="18"/>
                <w:szCs w:val="18"/>
                <w:color w:val="auto"/>
              </w:rPr>
              <w:t>Outstanding — 15,342,563 and 14,643,798</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4"/>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 $0.001 par value</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6"/>
        </w:trPr>
        <w:tc>
          <w:tcPr>
            <w:tcW w:w="7460" w:type="dxa"/>
            <w:vAlign w:val="bottom"/>
          </w:tcPr>
          <w:p>
            <w:pPr>
              <w:ind w:left="260"/>
              <w:spacing w:after="0"/>
              <w:rPr>
                <w:sz w:val="20"/>
                <w:szCs w:val="20"/>
                <w:color w:val="auto"/>
              </w:rPr>
            </w:pPr>
            <w:r>
              <w:rPr>
                <w:rFonts w:ascii="Arial" w:cs="Arial" w:eastAsia="Arial" w:hAnsi="Arial"/>
                <w:sz w:val="18"/>
                <w:szCs w:val="18"/>
                <w:color w:val="auto"/>
              </w:rPr>
              <w:t>Authorized shares — 150,000,000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0"/>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Issued and outstanding — 47,082,260 and 47,082,260</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6"/>
        </w:trPr>
        <w:tc>
          <w:tcPr>
            <w:tcW w:w="74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102,885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95,922</w:t>
            </w:r>
          </w:p>
        </w:tc>
      </w:tr>
      <w:tr>
        <w:trPr>
          <w:trHeight w:val="227"/>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(36,261)</w:t>
            </w:r>
          </w:p>
        </w:tc>
      </w:tr>
      <w:tr>
        <w:trPr>
          <w:trHeight w:val="23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Treasury stock, at cost; 255,942 and 140,088 shares held</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r>
      <w:tr>
        <w:trPr>
          <w:trHeight w:val="220"/>
        </w:trPr>
        <w:tc>
          <w:tcPr>
            <w:tcW w:w="74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stockholders’ equity attributable to Viant Technology Inc.</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59,248</w:t>
            </w:r>
          </w:p>
        </w:tc>
      </w:tr>
      <w:tr>
        <w:trPr>
          <w:trHeight w:val="226"/>
        </w:trPr>
        <w:tc>
          <w:tcPr>
            <w:tcW w:w="74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203,817</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206,520</w:t>
            </w:r>
          </w:p>
        </w:tc>
      </w:tr>
      <w:tr>
        <w:trPr>
          <w:trHeight w:val="233"/>
        </w:trPr>
        <w:tc>
          <w:tcPr>
            <w:tcW w:w="74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264,055</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265,768</w:t>
            </w:r>
          </w:p>
        </w:tc>
      </w:tr>
      <w:tr>
        <w:trPr>
          <w:trHeight w:val="220"/>
        </w:trPr>
        <w:tc>
          <w:tcPr>
            <w:tcW w:w="7460" w:type="dxa"/>
            <w:vAlign w:val="bottom"/>
          </w:tcPr>
          <w:p>
            <w:pPr>
              <w:ind w:left="9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361,455</w:t>
            </w:r>
          </w:p>
        </w:tc>
        <w:tc>
          <w:tcPr>
            <w:tcW w:w="38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377,883</w:t>
            </w:r>
          </w:p>
        </w:tc>
      </w:tr>
      <w:tr>
        <w:trPr>
          <w:trHeight w:val="20"/>
        </w:trPr>
        <w:tc>
          <w:tcPr>
            <w:tcW w:w="7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66675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00"/>
          </w:cols>
          <w:pgMar w:left="1040" w:top="121" w:right="55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580" w:type="dxa"/>
            <w:vAlign w:val="bottom"/>
            <w:gridSpan w:val="4"/>
          </w:tcPr>
          <w:p>
            <w:pPr>
              <w:jc w:val="right"/>
              <w:ind w:right="489"/>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8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429"/>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1580" w:type="dxa"/>
            <w:vAlign w:val="bottom"/>
            <w:gridSpan w:val="4"/>
            <w:vMerge w:val="restart"/>
          </w:tcPr>
          <w:p>
            <w:pPr>
              <w:jc w:val="right"/>
              <w:ind w:right="249"/>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6"/>
                <w:szCs w:val="6"/>
                <w:color w:val="auto"/>
              </w:rPr>
            </w:pPr>
          </w:p>
        </w:tc>
        <w:tc>
          <w:tcPr>
            <w:tcW w:w="15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gridSpan w:val="4"/>
            <w:vMerge w:val="restart"/>
          </w:tcPr>
          <w:p>
            <w:pPr>
              <w:jc w:val="right"/>
              <w:ind w:right="529"/>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15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69"/>
              <w:spacing w:after="0" w:line="113"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9"/>
                <w:szCs w:val="9"/>
                <w:color w:val="auto"/>
              </w:rPr>
            </w:pPr>
          </w:p>
        </w:tc>
        <w:tc>
          <w:tcPr>
            <w:tcW w:w="1000" w:type="dxa"/>
            <w:vAlign w:val="bottom"/>
            <w:gridSpan w:val="3"/>
            <w:vMerge w:val="restart"/>
          </w:tcPr>
          <w:p>
            <w:pPr>
              <w:jc w:val="center"/>
              <w:ind w:right="60"/>
              <w:spacing w:after="0" w:line="113" w:lineRule="exact"/>
              <w:rPr>
                <w:sz w:val="20"/>
                <w:szCs w:val="20"/>
                <w:color w:val="auto"/>
              </w:rPr>
            </w:pPr>
            <w:r>
              <w:rPr>
                <w:rFonts w:ascii="Arial" w:cs="Arial" w:eastAsia="Arial" w:hAnsi="Arial"/>
                <w:sz w:val="13"/>
                <w:szCs w:val="13"/>
                <w:b w:val="1"/>
                <w:bCs w:val="1"/>
                <w:color w:val="auto"/>
              </w:rPr>
              <w:t>Accumulated</w:t>
            </w:r>
          </w:p>
        </w:tc>
        <w:tc>
          <w:tcPr>
            <w:tcW w:w="156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restart"/>
          </w:tcPr>
          <w:p>
            <w:pPr>
              <w:ind w:left="20"/>
              <w:spacing w:after="0" w:line="113" w:lineRule="exact"/>
              <w:rPr>
                <w:sz w:val="20"/>
                <w:szCs w:val="20"/>
                <w:color w:val="auto"/>
              </w:rPr>
            </w:pPr>
            <w:r>
              <w:rPr>
                <w:rFonts w:ascii="Arial" w:cs="Arial" w:eastAsia="Arial" w:hAnsi="Arial"/>
                <w:sz w:val="13"/>
                <w:szCs w:val="13"/>
                <w:b w:val="1"/>
                <w:bCs w:val="1"/>
                <w:color w:val="auto"/>
                <w:w w:val="97"/>
              </w:rPr>
              <w:t>Noncontrolling</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2"/>
            <w:vMerge w:val="restart"/>
          </w:tcPr>
          <w:p>
            <w:pPr>
              <w:jc w:val="right"/>
              <w:ind w:right="80"/>
              <w:spacing w:after="0" w:line="11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740" w:type="dxa"/>
            <w:vAlign w:val="bottom"/>
          </w:tcPr>
          <w:p>
            <w:pPr>
              <w:jc w:val="right"/>
              <w:ind w:right="8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color w:val="auto"/>
                <w:w w:val="99"/>
              </w:rPr>
              <w:t>Interests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6"/>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47,082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47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95,922</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(36,261)</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206,520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480" w:type="dxa"/>
            <w:vAlign w:val="bottom"/>
          </w:tcPr>
          <w:p>
            <w:pPr>
              <w:ind w:left="260"/>
              <w:spacing w:after="0" w:line="141" w:lineRule="exact"/>
              <w:rPr>
                <w:sz w:val="20"/>
                <w:szCs w:val="20"/>
                <w:color w:val="auto"/>
              </w:rPr>
            </w:pPr>
            <w:r>
              <w:rPr>
                <w:rFonts w:ascii="Arial" w:cs="Arial" w:eastAsia="Arial" w:hAnsi="Arial"/>
                <w:sz w:val="14"/>
                <w:szCs w:val="14"/>
                <w:color w:val="auto"/>
              </w:rPr>
              <w:t>Cumulative impact of accounting</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2480" w:type="dxa"/>
            <w:vAlign w:val="bottom"/>
          </w:tcPr>
          <w:p>
            <w:pPr>
              <w:ind w:left="260"/>
              <w:spacing w:after="0"/>
              <w:rPr>
                <w:sz w:val="20"/>
                <w:szCs w:val="20"/>
                <w:color w:val="auto"/>
              </w:rPr>
            </w:pPr>
            <w:r>
              <w:rPr>
                <w:rFonts w:ascii="Arial" w:cs="Arial" w:eastAsia="Arial" w:hAnsi="Arial"/>
                <w:sz w:val="14"/>
                <w:szCs w:val="14"/>
                <w:color w:val="auto"/>
              </w:rPr>
              <w:t>adoption</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2023</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47,082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w w:val="76"/>
              </w:rPr>
              <w:t>47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95,922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(36,470)</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206,520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480" w:type="dxa"/>
            <w:vAlign w:val="bottom"/>
          </w:tcPr>
          <w:p>
            <w:pPr>
              <w:ind w:left="260"/>
              <w:spacing w:after="0" w:line="133" w:lineRule="exact"/>
              <w:rPr>
                <w:sz w:val="20"/>
                <w:szCs w:val="20"/>
                <w:color w:val="auto"/>
              </w:rPr>
            </w:pPr>
            <w:r>
              <w:rPr>
                <w:rFonts w:ascii="Arial" w:cs="Arial" w:eastAsia="Arial" w:hAnsi="Arial"/>
                <w:sz w:val="14"/>
                <w:szCs w:val="14"/>
                <w:color w:val="auto"/>
                <w:w w:val="94"/>
              </w:rPr>
              <w:t>Issuance of Class A common stock in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80" w:type="dxa"/>
            <w:vAlign w:val="bottom"/>
          </w:tcPr>
          <w:p>
            <w:pPr>
              <w:ind w:left="260"/>
              <w:spacing w:after="0" w:line="141" w:lineRule="exact"/>
              <w:rPr>
                <w:sz w:val="20"/>
                <w:szCs w:val="20"/>
                <w:color w:val="auto"/>
              </w:rPr>
            </w:pPr>
            <w:r>
              <w:rPr>
                <w:rFonts w:ascii="Arial" w:cs="Arial" w:eastAsia="Arial" w:hAnsi="Arial"/>
                <w:sz w:val="14"/>
                <w:szCs w:val="14"/>
                <w:color w:val="auto"/>
              </w:rPr>
              <w:t>connection with equity-based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60"/>
              <w:spacing w:after="0"/>
              <w:rPr>
                <w:sz w:val="20"/>
                <w:szCs w:val="20"/>
                <w:color w:val="auto"/>
              </w:rPr>
            </w:pPr>
            <w:r>
              <w:rPr>
                <w:rFonts w:ascii="Arial" w:cs="Arial" w:eastAsia="Arial" w:hAnsi="Arial"/>
                <w:sz w:val="14"/>
                <w:szCs w:val="14"/>
                <w:color w:val="auto"/>
              </w:rPr>
              <w:t>compensation plans</w:t>
            </w:r>
          </w:p>
        </w:tc>
        <w:tc>
          <w:tcPr>
            <w:tcW w:w="740" w:type="dxa"/>
            <w:vAlign w:val="bottom"/>
          </w:tcPr>
          <w:p>
            <w:pPr>
              <w:jc w:val="right"/>
              <w:spacing w:after="0"/>
              <w:rPr>
                <w:sz w:val="20"/>
                <w:szCs w:val="20"/>
                <w:color w:val="auto"/>
              </w:rPr>
            </w:pPr>
            <w:r>
              <w:rPr>
                <w:rFonts w:ascii="Arial" w:cs="Arial" w:eastAsia="Arial" w:hAnsi="Arial"/>
                <w:sz w:val="14"/>
                <w:szCs w:val="14"/>
                <w:color w:val="auto"/>
              </w:rPr>
              <w:t>660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shd w:val="clear" w:color="auto" w:fill="CCEEFF"/>
          </w:tcPr>
          <w:p>
            <w:pPr>
              <w:ind w:left="260"/>
              <w:spacing w:after="0" w:line="133" w:lineRule="exact"/>
              <w:rPr>
                <w:sz w:val="20"/>
                <w:szCs w:val="20"/>
                <w:color w:val="auto"/>
              </w:rPr>
            </w:pPr>
            <w:r>
              <w:rPr>
                <w:rFonts w:ascii="Arial" w:cs="Arial" w:eastAsia="Arial" w:hAnsi="Arial"/>
                <w:sz w:val="14"/>
                <w:szCs w:val="14"/>
                <w:color w:val="auto"/>
              </w:rPr>
              <w:t>Repurchase of treasury stock in</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80" w:type="dxa"/>
            <w:vAlign w:val="bottom"/>
            <w:shd w:val="clear" w:color="auto" w:fill="CCEEFF"/>
          </w:tcPr>
          <w:p>
            <w:pPr>
              <w:ind w:left="260"/>
              <w:spacing w:after="0" w:line="141" w:lineRule="exact"/>
              <w:rPr>
                <w:sz w:val="20"/>
                <w:szCs w:val="20"/>
                <w:color w:val="auto"/>
              </w:rPr>
            </w:pPr>
            <w:r>
              <w:rPr>
                <w:rFonts w:ascii="Arial" w:cs="Arial" w:eastAsia="Arial" w:hAnsi="Arial"/>
                <w:sz w:val="14"/>
                <w:szCs w:val="14"/>
                <w:color w:val="auto"/>
                <w:w w:val="93"/>
              </w:rPr>
              <w:t>connection with the taxes paid related</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8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to net share settlement of equity</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awards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480" w:type="dxa"/>
            <w:vAlign w:val="bottom"/>
          </w:tcPr>
          <w:p>
            <w:pPr>
              <w:ind w:left="260"/>
              <w:spacing w:after="0" w:line="141" w:lineRule="exact"/>
              <w:rPr>
                <w:sz w:val="20"/>
                <w:szCs w:val="20"/>
                <w:color w:val="auto"/>
              </w:rPr>
            </w:pPr>
            <w:r>
              <w:rPr>
                <w:rFonts w:ascii="Arial" w:cs="Arial" w:eastAsia="Arial" w:hAnsi="Arial"/>
                <w:sz w:val="14"/>
                <w:szCs w:val="14"/>
                <w:color w:val="auto"/>
              </w:rPr>
              <w:t>Reissuance of treasury stock in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80" w:type="dxa"/>
            <w:vAlign w:val="bottom"/>
          </w:tcPr>
          <w:p>
            <w:pPr>
              <w:ind w:left="260"/>
              <w:spacing w:after="0" w:line="147" w:lineRule="exact"/>
              <w:rPr>
                <w:sz w:val="20"/>
                <w:szCs w:val="20"/>
                <w:color w:val="auto"/>
              </w:rPr>
            </w:pPr>
            <w:r>
              <w:rPr>
                <w:rFonts w:ascii="Arial" w:cs="Arial" w:eastAsia="Arial" w:hAnsi="Arial"/>
                <w:sz w:val="14"/>
                <w:szCs w:val="14"/>
                <w:color w:val="auto"/>
              </w:rPr>
              <w:t>connection with equity-based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80" w:type="dxa"/>
            <w:vAlign w:val="bottom"/>
          </w:tcPr>
          <w:p>
            <w:pPr>
              <w:ind w:left="260"/>
              <w:spacing w:after="0"/>
              <w:rPr>
                <w:sz w:val="20"/>
                <w:szCs w:val="20"/>
                <w:color w:val="auto"/>
              </w:rPr>
            </w:pPr>
            <w:r>
              <w:rPr>
                <w:rFonts w:ascii="Arial" w:cs="Arial" w:eastAsia="Arial" w:hAnsi="Arial"/>
                <w:sz w:val="14"/>
                <w:szCs w:val="14"/>
                <w:color w:val="auto"/>
              </w:rPr>
              <w:t>compensation plans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(475)</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48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w w:val="98"/>
              </w:rPr>
              <w:t>Allocation of equity to noncontrolling</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interests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80" w:type="dxa"/>
            <w:vAlign w:val="bottom"/>
          </w:tcPr>
          <w:p>
            <w:pPr>
              <w:ind w:left="260"/>
              <w:spacing w:after="0"/>
              <w:rPr>
                <w:sz w:val="20"/>
                <w:szCs w:val="20"/>
                <w:color w:val="auto"/>
              </w:rPr>
            </w:pPr>
            <w:r>
              <w:rPr>
                <w:rFonts w:ascii="Arial" w:cs="Arial" w:eastAsia="Arial" w:hAnsi="Arial"/>
                <w:sz w:val="14"/>
                <w:szCs w:val="14"/>
                <w:color w:val="auto"/>
              </w:rPr>
              <w:t>Accrued member tax distributions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(2,480)</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(6,896)</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47,082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100,942</w:t>
            </w: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(39,425)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60"/>
              <w:spacing w:after="0" w:line="128" w:lineRule="exact"/>
              <w:rPr>
                <w:sz w:val="20"/>
                <w:szCs w:val="20"/>
                <w:color w:val="auto"/>
              </w:rPr>
            </w:pPr>
            <w:r>
              <w:rPr>
                <w:rFonts w:ascii="Arial" w:cs="Arial" w:eastAsia="Arial" w:hAnsi="Arial"/>
                <w:sz w:val="14"/>
                <w:szCs w:val="14"/>
                <w:color w:val="auto"/>
                <w:w w:val="94"/>
              </w:rPr>
              <w:t>Issuance of Class A common stock in</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480" w:type="dxa"/>
            <w:vAlign w:val="bottom"/>
          </w:tcPr>
          <w:p>
            <w:pPr>
              <w:ind w:left="260"/>
              <w:spacing w:after="0" w:line="139" w:lineRule="exact"/>
              <w:rPr>
                <w:sz w:val="20"/>
                <w:szCs w:val="20"/>
                <w:color w:val="auto"/>
              </w:rPr>
            </w:pPr>
            <w:r>
              <w:rPr>
                <w:rFonts w:ascii="Arial" w:cs="Arial" w:eastAsia="Arial" w:hAnsi="Arial"/>
                <w:sz w:val="14"/>
                <w:szCs w:val="14"/>
                <w:color w:val="auto"/>
              </w:rPr>
              <w:t>connection with equity-based</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260"/>
              <w:spacing w:after="0"/>
              <w:rPr>
                <w:sz w:val="20"/>
                <w:szCs w:val="20"/>
                <w:color w:val="auto"/>
              </w:rPr>
            </w:pPr>
            <w:r>
              <w:rPr>
                <w:rFonts w:ascii="Arial" w:cs="Arial" w:eastAsia="Arial" w:hAnsi="Arial"/>
                <w:sz w:val="14"/>
                <w:szCs w:val="14"/>
                <w:color w:val="auto"/>
              </w:rPr>
              <w:t>compensation plans</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480" w:type="dxa"/>
            <w:vAlign w:val="bottom"/>
            <w:shd w:val="clear" w:color="auto" w:fill="CCEEFF"/>
          </w:tcPr>
          <w:p>
            <w:pPr>
              <w:ind w:left="260"/>
              <w:spacing w:after="0" w:line="151" w:lineRule="exact"/>
              <w:rPr>
                <w:sz w:val="20"/>
                <w:szCs w:val="20"/>
                <w:color w:val="auto"/>
              </w:rPr>
            </w:pPr>
            <w:r>
              <w:rPr>
                <w:rFonts w:ascii="Arial" w:cs="Arial" w:eastAsia="Arial" w:hAnsi="Arial"/>
                <w:sz w:val="14"/>
                <w:szCs w:val="14"/>
                <w:color w:val="auto"/>
              </w:rPr>
              <w:t>Repurchase of treasury stock in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ind w:left="260"/>
              <w:spacing w:after="0" w:line="139" w:lineRule="exact"/>
              <w:rPr>
                <w:sz w:val="20"/>
                <w:szCs w:val="20"/>
                <w:color w:val="auto"/>
              </w:rPr>
            </w:pPr>
            <w:r>
              <w:rPr>
                <w:rFonts w:ascii="Arial" w:cs="Arial" w:eastAsia="Arial" w:hAnsi="Arial"/>
                <w:sz w:val="14"/>
                <w:szCs w:val="14"/>
                <w:color w:val="auto"/>
                <w:w w:val="93"/>
              </w:rPr>
              <w:t>connection with the taxes paid related</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480" w:type="dxa"/>
            <w:vAlign w:val="bottom"/>
            <w:shd w:val="clear" w:color="auto" w:fill="CCEEFF"/>
          </w:tcPr>
          <w:p>
            <w:pPr>
              <w:ind w:left="260"/>
              <w:spacing w:after="0" w:line="141" w:lineRule="exact"/>
              <w:rPr>
                <w:sz w:val="20"/>
                <w:szCs w:val="20"/>
                <w:color w:val="auto"/>
              </w:rPr>
            </w:pPr>
            <w:r>
              <w:rPr>
                <w:rFonts w:ascii="Arial" w:cs="Arial" w:eastAsia="Arial" w:hAnsi="Arial"/>
                <w:sz w:val="14"/>
                <w:szCs w:val="14"/>
                <w:color w:val="auto"/>
              </w:rPr>
              <w:t>to net share settlement of equity</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awards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80" w:type="dxa"/>
            <w:vAlign w:val="bottom"/>
          </w:tcPr>
          <w:p>
            <w:pPr>
              <w:ind w:left="260"/>
              <w:spacing w:after="0" w:line="133" w:lineRule="exact"/>
              <w:rPr>
                <w:sz w:val="20"/>
                <w:szCs w:val="20"/>
                <w:color w:val="auto"/>
              </w:rPr>
            </w:pPr>
            <w:r>
              <w:rPr>
                <w:rFonts w:ascii="Arial" w:cs="Arial" w:eastAsia="Arial" w:hAnsi="Arial"/>
                <w:sz w:val="14"/>
                <w:szCs w:val="14"/>
                <w:color w:val="auto"/>
              </w:rPr>
              <w:t>Reissuance of treasury stock in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80" w:type="dxa"/>
            <w:vAlign w:val="bottom"/>
          </w:tcPr>
          <w:p>
            <w:pPr>
              <w:ind w:left="260"/>
              <w:spacing w:after="0" w:line="141" w:lineRule="exact"/>
              <w:rPr>
                <w:sz w:val="20"/>
                <w:szCs w:val="20"/>
                <w:color w:val="auto"/>
              </w:rPr>
            </w:pPr>
            <w:r>
              <w:rPr>
                <w:rFonts w:ascii="Arial" w:cs="Arial" w:eastAsia="Arial" w:hAnsi="Arial"/>
                <w:sz w:val="14"/>
                <w:szCs w:val="14"/>
                <w:color w:val="auto"/>
              </w:rPr>
              <w:t>connection with equity-based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60"/>
              <w:spacing w:after="0"/>
              <w:rPr>
                <w:sz w:val="20"/>
                <w:szCs w:val="20"/>
                <w:color w:val="auto"/>
              </w:rPr>
            </w:pPr>
            <w:r>
              <w:rPr>
                <w:rFonts w:ascii="Arial" w:cs="Arial" w:eastAsia="Arial" w:hAnsi="Arial"/>
                <w:sz w:val="14"/>
                <w:szCs w:val="14"/>
                <w:color w:val="auto"/>
              </w:rPr>
              <w:t>compensation plans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(1,148)</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shd w:val="clear" w:color="auto" w:fill="CCEEFF"/>
          </w:tcPr>
          <w:p>
            <w:pPr>
              <w:ind w:left="260"/>
              <w:spacing w:after="0" w:line="133" w:lineRule="exact"/>
              <w:rPr>
                <w:sz w:val="20"/>
                <w:szCs w:val="20"/>
                <w:color w:val="auto"/>
              </w:rPr>
            </w:pPr>
            <w:r>
              <w:rPr>
                <w:rFonts w:ascii="Arial" w:cs="Arial" w:eastAsia="Arial" w:hAnsi="Arial"/>
                <w:sz w:val="14"/>
                <w:szCs w:val="14"/>
                <w:color w:val="auto"/>
                <w:w w:val="98"/>
              </w:rPr>
              <w:t>Allocation of equity to noncontrolling</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(3,956)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3,956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interests</w:t>
            </w: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260"/>
              <w:spacing w:after="0"/>
              <w:rPr>
                <w:sz w:val="20"/>
                <w:szCs w:val="20"/>
                <w:color w:val="auto"/>
              </w:rPr>
            </w:pPr>
            <w:r>
              <w:rPr>
                <w:rFonts w:ascii="Arial" w:cs="Arial" w:eastAsia="Arial" w:hAnsi="Arial"/>
                <w:sz w:val="14"/>
                <w:szCs w:val="14"/>
                <w:color w:val="auto"/>
              </w:rPr>
              <w:t>Accrued member tax distributions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(4,151)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Net loss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15,598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47,082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47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102,885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(41,636)</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203,817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66675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60"/>
          </w:cols>
          <w:pgMar w:left="800" w:top="121" w:right="239" w:bottom="1440" w:gutter="0" w:footer="0" w:header="0"/>
        </w:sectPr>
      </w:pPr>
    </w:p>
    <w:bookmarkStart w:id="6" w:name="page7"/>
    <w:bookmarkEnd w:id="6"/>
    <w:p>
      <w:pPr>
        <w:jc w:val="center"/>
        <w:ind w:right="12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2440" w:type="dxa"/>
        <w:tblCellMar>
          <w:top w:w="0" w:type="dxa"/>
          <w:left w:w="0" w:type="dxa"/>
          <w:bottom w:w="0" w:type="dxa"/>
          <w:right w:w="0" w:type="dxa"/>
        </w:tblCellMar>
      </w:tblPr>
      <w:tr>
        <w:trPr>
          <w:trHeight w:val="161"/>
        </w:trPr>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8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6"/>
                <w:szCs w:val="6"/>
                <w:color w:val="auto"/>
              </w:rPr>
            </w:pPr>
          </w:p>
        </w:tc>
        <w:tc>
          <w:tcPr>
            <w:tcW w:w="1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8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vMerge w:val="restart"/>
          </w:tcPr>
          <w:p>
            <w:pPr>
              <w:jc w:val="center"/>
              <w:ind w:right="509"/>
              <w:spacing w:after="0"/>
              <w:rPr>
                <w:sz w:val="20"/>
                <w:szCs w:val="20"/>
                <w:color w:val="auto"/>
              </w:rPr>
            </w:pPr>
            <w:r>
              <w:rPr>
                <w:rFonts w:ascii="Arial" w:cs="Arial" w:eastAsia="Arial" w:hAnsi="Arial"/>
                <w:sz w:val="14"/>
                <w:szCs w:val="14"/>
                <w:b w:val="1"/>
                <w:bCs w:val="1"/>
                <w:color w:val="auto"/>
                <w:w w:val="89"/>
              </w:rPr>
              <w:t>Stock</w:t>
            </w: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88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auto"/>
              </w:rPr>
              <w:t>Paid-In</w:t>
            </w:r>
          </w:p>
        </w:tc>
        <w:tc>
          <w:tcPr>
            <w:tcW w:w="104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auto"/>
              </w:rPr>
              <w:t>Accumulated</w:t>
            </w:r>
          </w:p>
        </w:tc>
        <w:tc>
          <w:tcPr>
            <w:tcW w:w="5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4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auto"/>
                <w:w w:val="97"/>
              </w:rPr>
              <w:t>Noncontrolling</w:t>
            </w:r>
          </w:p>
        </w:tc>
        <w:tc>
          <w:tcPr>
            <w:tcW w:w="540" w:type="dxa"/>
            <w:vAlign w:val="bottom"/>
            <w:vMerge w:val="restart"/>
          </w:tcPr>
          <w:p>
            <w:pPr>
              <w:jc w:val="center"/>
              <w:ind w:left="72"/>
              <w:spacing w:after="0" w:line="11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
        </w:trPr>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w w:val="89"/>
              </w:rPr>
              <w:t>Shares</w:t>
            </w:r>
          </w:p>
        </w:tc>
        <w:tc>
          <w:tcPr>
            <w:tcW w:w="960" w:type="dxa"/>
            <w:vAlign w:val="bottom"/>
          </w:tcPr>
          <w:p>
            <w:pPr>
              <w:ind w:left="340"/>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Interests</w:t>
            </w:r>
          </w:p>
        </w:tc>
        <w:tc>
          <w:tcPr>
            <w:tcW w:w="540" w:type="dxa"/>
            <w:vAlign w:val="bottom"/>
          </w:tcPr>
          <w:p>
            <w:pPr>
              <w:jc w:val="center"/>
              <w:ind w:left="7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wp:posOffset>
            </wp:positionV>
            <wp:extent cx="6897370" cy="143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7370" cy="143510"/>
                    </a:xfrm>
                    <a:prstGeom prst="rect">
                      <a:avLst/>
                    </a:prstGeom>
                    <a:noFill/>
                  </pic:spPr>
                </pic:pic>
              </a:graphicData>
            </a:graphic>
          </wp:anchor>
        </w:drawing>
      </w:r>
    </w:p>
    <w:p>
      <w:pPr>
        <w:sectPr>
          <w:pgSz w:w="11900" w:h="16838" w:orient="portrait"/>
          <w:cols w:equalWidth="0" w:num="1">
            <w:col w:w="10840"/>
          </w:cols>
          <w:pgMar w:left="820" w:top="121" w:right="239" w:bottom="1440" w:gutter="0" w:footer="0" w:header="0"/>
        </w:sectPr>
      </w:pPr>
    </w:p>
    <w:tbl>
      <w:tblPr>
        <w:tblLayout w:type="fixed"/>
        <w:tblInd w:w="0" w:type="dxa"/>
        <w:tblCellMar>
          <w:top w:w="0" w:type="dxa"/>
          <w:left w:w="0" w:type="dxa"/>
          <w:bottom w:w="0" w:type="dxa"/>
          <w:right w:w="0" w:type="dxa"/>
        </w:tblCellMar>
      </w:tblPr>
      <w:tr>
        <w:trPr>
          <w:trHeight w:val="195"/>
        </w:trPr>
        <w:tc>
          <w:tcPr>
            <w:tcW w:w="2440" w:type="dxa"/>
            <w:vAlign w:val="bottom"/>
          </w:tcPr>
          <w:p>
            <w:pPr>
              <w:spacing w:after="0"/>
              <w:rPr>
                <w:sz w:val="20"/>
                <w:szCs w:val="20"/>
                <w:color w:val="auto"/>
              </w:rPr>
            </w:pPr>
            <w:r>
              <w:rPr>
                <w:rFonts w:ascii="Arial" w:cs="Arial" w:eastAsia="Arial" w:hAnsi="Arial"/>
                <w:sz w:val="14"/>
                <w:szCs w:val="14"/>
                <w:b w:val="1"/>
                <w:bCs w:val="1"/>
                <w:color w:val="auto"/>
              </w:rPr>
              <w:t>Balance as of December 31, 2021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13,921</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47,107</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40" w:type="dxa"/>
            <w:vAlign w:val="bottom"/>
            <w:vMerge w:val="restart"/>
          </w:tcPr>
          <w:p>
            <w:pPr>
              <w:ind w:left="240"/>
              <w:spacing w:after="0" w:line="148" w:lineRule="exact"/>
              <w:rPr>
                <w:sz w:val="20"/>
                <w:szCs w:val="20"/>
                <w:color w:val="auto"/>
              </w:rPr>
            </w:pPr>
            <w:r>
              <w:rPr>
                <w:rFonts w:ascii="Arial" w:cs="Arial" w:eastAsia="Arial" w:hAnsi="Arial"/>
                <w:sz w:val="14"/>
                <w:szCs w:val="14"/>
                <w:color w:val="auto"/>
                <w:w w:val="97"/>
              </w:rPr>
              <w:t>Exchange of Class B common stock</w:t>
            </w: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4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240"/>
              <w:spacing w:after="0"/>
              <w:rPr>
                <w:sz w:val="20"/>
                <w:szCs w:val="20"/>
                <w:color w:val="auto"/>
              </w:rPr>
            </w:pPr>
            <w:r>
              <w:rPr>
                <w:rFonts w:ascii="Arial" w:cs="Arial" w:eastAsia="Arial" w:hAnsi="Arial"/>
                <w:sz w:val="14"/>
                <w:szCs w:val="14"/>
                <w:color w:val="auto"/>
              </w:rPr>
              <w:t>for Class A common stock</w:t>
            </w: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40" w:type="dxa"/>
            <w:vAlign w:val="bottom"/>
          </w:tcPr>
          <w:p>
            <w:pPr>
              <w:ind w:left="240"/>
              <w:spacing w:after="0" w:line="153" w:lineRule="exact"/>
              <w:rPr>
                <w:sz w:val="20"/>
                <w:szCs w:val="20"/>
                <w:color w:val="auto"/>
              </w:rPr>
            </w:pPr>
            <w:r>
              <w:rPr>
                <w:rFonts w:ascii="Arial" w:cs="Arial" w:eastAsia="Arial" w:hAnsi="Arial"/>
                <w:sz w:val="14"/>
                <w:szCs w:val="14"/>
                <w:color w:val="auto"/>
                <w:w w:val="93"/>
              </w:rPr>
              <w:t>Issuance of Class A common stock in</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40" w:type="dxa"/>
            <w:vAlign w:val="bottom"/>
          </w:tcPr>
          <w:p>
            <w:pPr>
              <w:ind w:left="240"/>
              <w:spacing w:after="0" w:line="147" w:lineRule="exact"/>
              <w:rPr>
                <w:sz w:val="20"/>
                <w:szCs w:val="20"/>
                <w:color w:val="auto"/>
              </w:rPr>
            </w:pPr>
            <w:r>
              <w:rPr>
                <w:rFonts w:ascii="Arial" w:cs="Arial" w:eastAsia="Arial" w:hAnsi="Arial"/>
                <w:sz w:val="14"/>
                <w:szCs w:val="14"/>
                <w:color w:val="auto"/>
              </w:rPr>
              <w:t>connection with equity-based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240"/>
              <w:spacing w:after="0"/>
              <w:rPr>
                <w:sz w:val="20"/>
                <w:szCs w:val="20"/>
                <w:color w:val="auto"/>
              </w:rPr>
            </w:pPr>
            <w:r>
              <w:rPr>
                <w:rFonts w:ascii="Arial" w:cs="Arial" w:eastAsia="Arial" w:hAnsi="Arial"/>
                <w:sz w:val="14"/>
                <w:szCs w:val="14"/>
                <w:color w:val="auto"/>
              </w:rPr>
              <w:t>compensation plans</w:t>
            </w:r>
          </w:p>
        </w:tc>
        <w:tc>
          <w:tcPr>
            <w:tcW w:w="740" w:type="dxa"/>
            <w:vAlign w:val="bottom"/>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40" w:type="dxa"/>
            <w:vAlign w:val="bottom"/>
          </w:tcPr>
          <w:p>
            <w:pPr>
              <w:ind w:left="240"/>
              <w:spacing w:after="0" w:line="153" w:lineRule="exact"/>
              <w:rPr>
                <w:sz w:val="20"/>
                <w:szCs w:val="20"/>
                <w:color w:val="auto"/>
              </w:rPr>
            </w:pPr>
            <w:r>
              <w:rPr>
                <w:rFonts w:ascii="Arial" w:cs="Arial" w:eastAsia="Arial" w:hAnsi="Arial"/>
                <w:sz w:val="14"/>
                <w:szCs w:val="14"/>
                <w:color w:val="auto"/>
              </w:rPr>
              <w:t>Reissuance of treasury stock in</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40" w:type="dxa"/>
            <w:vAlign w:val="bottom"/>
          </w:tcPr>
          <w:p>
            <w:pPr>
              <w:ind w:left="240"/>
              <w:spacing w:after="0" w:line="147" w:lineRule="exact"/>
              <w:rPr>
                <w:sz w:val="20"/>
                <w:szCs w:val="20"/>
                <w:color w:val="auto"/>
              </w:rPr>
            </w:pPr>
            <w:r>
              <w:rPr>
                <w:rFonts w:ascii="Arial" w:cs="Arial" w:eastAsia="Arial" w:hAnsi="Arial"/>
                <w:sz w:val="14"/>
                <w:szCs w:val="14"/>
                <w:color w:val="auto"/>
              </w:rPr>
              <w:t>connection with equity-based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240"/>
              <w:spacing w:after="0"/>
              <w:rPr>
                <w:sz w:val="20"/>
                <w:szCs w:val="20"/>
                <w:color w:val="auto"/>
              </w:rPr>
            </w:pPr>
            <w:r>
              <w:rPr>
                <w:rFonts w:ascii="Arial" w:cs="Arial" w:eastAsia="Arial" w:hAnsi="Arial"/>
                <w:sz w:val="14"/>
                <w:szCs w:val="14"/>
                <w:color w:val="auto"/>
              </w:rPr>
              <w:t>compensation plans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40" w:type="dxa"/>
            <w:vAlign w:val="bottom"/>
          </w:tcPr>
          <w:p>
            <w:pPr>
              <w:ind w:left="240"/>
              <w:spacing w:after="0" w:line="153" w:lineRule="exact"/>
              <w:rPr>
                <w:sz w:val="20"/>
                <w:szCs w:val="20"/>
                <w:color w:val="auto"/>
              </w:rPr>
            </w:pPr>
            <w:r>
              <w:rPr>
                <w:rFonts w:ascii="Arial" w:cs="Arial" w:eastAsia="Arial" w:hAnsi="Arial"/>
                <w:sz w:val="14"/>
                <w:szCs w:val="14"/>
                <w:color w:val="auto"/>
                <w:w w:val="97"/>
              </w:rPr>
              <w:t>Allocation of equity to noncontrolling</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240"/>
              <w:spacing w:after="0"/>
              <w:rPr>
                <w:sz w:val="20"/>
                <w:szCs w:val="20"/>
                <w:color w:val="auto"/>
              </w:rPr>
            </w:pPr>
            <w:r>
              <w:rPr>
                <w:rFonts w:ascii="Arial" w:cs="Arial" w:eastAsia="Arial" w:hAnsi="Arial"/>
                <w:sz w:val="14"/>
                <w:szCs w:val="14"/>
                <w:color w:val="auto"/>
              </w:rPr>
              <w:t>interests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40" w:type="dxa"/>
            <w:vAlign w:val="bottom"/>
          </w:tcPr>
          <w:p>
            <w:pPr>
              <w:ind w:left="240"/>
              <w:spacing w:after="0"/>
              <w:rPr>
                <w:sz w:val="20"/>
                <w:szCs w:val="20"/>
                <w:color w:val="auto"/>
              </w:rPr>
            </w:pPr>
            <w:r>
              <w:rPr>
                <w:rFonts w:ascii="Arial" w:cs="Arial" w:eastAsia="Arial" w:hAnsi="Arial"/>
                <w:sz w:val="14"/>
                <w:szCs w:val="14"/>
                <w:color w:val="auto"/>
              </w:rPr>
              <w:t>Accrued member tax distributions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44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40" w:type="dxa"/>
            <w:vAlign w:val="bottom"/>
          </w:tcPr>
          <w:p>
            <w:pPr>
              <w:ind w:left="240"/>
              <w:spacing w:after="0"/>
              <w:rPr>
                <w:sz w:val="20"/>
                <w:szCs w:val="20"/>
                <w:color w:val="auto"/>
              </w:rPr>
            </w:pPr>
            <w:r>
              <w:rPr>
                <w:rFonts w:ascii="Arial" w:cs="Arial" w:eastAsia="Arial" w:hAnsi="Arial"/>
                <w:sz w:val="14"/>
                <w:szCs w:val="14"/>
                <w:color w:val="auto"/>
              </w:rPr>
              <w:t>Net loss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440" w:type="dxa"/>
            <w:vAlign w:val="bottom"/>
          </w:tcPr>
          <w:p>
            <w:pPr>
              <w:spacing w:after="0"/>
              <w:rPr>
                <w:sz w:val="20"/>
                <w:szCs w:val="20"/>
                <w:color w:val="auto"/>
              </w:rPr>
            </w:pPr>
            <w:r>
              <w:rPr>
                <w:rFonts w:ascii="Arial" w:cs="Arial" w:eastAsia="Arial" w:hAnsi="Arial"/>
                <w:sz w:val="14"/>
                <w:szCs w:val="14"/>
                <w:b w:val="1"/>
                <w:bCs w:val="1"/>
                <w:color w:val="auto"/>
              </w:rPr>
              <w:t>Balance as of March 31, 2022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14,072</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47,082</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40" w:type="dxa"/>
            <w:vAlign w:val="bottom"/>
            <w:vMerge w:val="restart"/>
          </w:tcPr>
          <w:p>
            <w:pPr>
              <w:ind w:left="160"/>
              <w:spacing w:after="0" w:line="148" w:lineRule="exact"/>
              <w:rPr>
                <w:sz w:val="20"/>
                <w:szCs w:val="20"/>
                <w:color w:val="auto"/>
              </w:rPr>
            </w:pPr>
            <w:r>
              <w:rPr>
                <w:rFonts w:ascii="Arial" w:cs="Arial" w:eastAsia="Arial" w:hAnsi="Arial"/>
                <w:sz w:val="14"/>
                <w:szCs w:val="14"/>
                <w:color w:val="auto"/>
                <w:w w:val="97"/>
              </w:rPr>
              <w:t>Issuance of Class A common stock in</w:t>
            </w: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4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440" w:type="dxa"/>
            <w:vAlign w:val="bottom"/>
          </w:tcPr>
          <w:p>
            <w:pPr>
              <w:ind w:left="160"/>
              <w:spacing w:after="0" w:line="147" w:lineRule="exact"/>
              <w:rPr>
                <w:sz w:val="20"/>
                <w:szCs w:val="20"/>
                <w:color w:val="auto"/>
              </w:rPr>
            </w:pPr>
            <w:r>
              <w:rPr>
                <w:rFonts w:ascii="Arial" w:cs="Arial" w:eastAsia="Arial" w:hAnsi="Arial"/>
                <w:sz w:val="14"/>
                <w:szCs w:val="14"/>
                <w:color w:val="auto"/>
              </w:rPr>
              <w:t>connection with equity-based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160"/>
              <w:spacing w:after="0"/>
              <w:rPr>
                <w:sz w:val="20"/>
                <w:szCs w:val="20"/>
                <w:color w:val="auto"/>
              </w:rPr>
            </w:pPr>
            <w:r>
              <w:rPr>
                <w:rFonts w:ascii="Arial" w:cs="Arial" w:eastAsia="Arial" w:hAnsi="Arial"/>
                <w:sz w:val="14"/>
                <w:szCs w:val="14"/>
                <w:color w:val="auto"/>
              </w:rPr>
              <w:t>compensation plans</w:t>
            </w:r>
          </w:p>
        </w:tc>
        <w:tc>
          <w:tcPr>
            <w:tcW w:w="740" w:type="dxa"/>
            <w:vAlign w:val="bottom"/>
          </w:tcPr>
          <w:p>
            <w:pPr>
              <w:jc w:val="right"/>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40" w:type="dxa"/>
            <w:vAlign w:val="bottom"/>
          </w:tcPr>
          <w:p>
            <w:pPr>
              <w:ind w:left="160"/>
              <w:spacing w:after="0" w:line="153" w:lineRule="exact"/>
              <w:rPr>
                <w:sz w:val="20"/>
                <w:szCs w:val="20"/>
                <w:color w:val="auto"/>
              </w:rPr>
            </w:pPr>
            <w:r>
              <w:rPr>
                <w:rFonts w:ascii="Arial" w:cs="Arial" w:eastAsia="Arial" w:hAnsi="Arial"/>
                <w:sz w:val="14"/>
                <w:szCs w:val="14"/>
                <w:color w:val="auto"/>
              </w:rPr>
              <w:t>Repurchase of treasury stock in</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40" w:type="dxa"/>
            <w:vAlign w:val="bottom"/>
          </w:tcPr>
          <w:p>
            <w:pPr>
              <w:ind w:left="160"/>
              <w:spacing w:after="0" w:line="147" w:lineRule="exact"/>
              <w:rPr>
                <w:sz w:val="20"/>
                <w:szCs w:val="20"/>
                <w:color w:val="auto"/>
              </w:rPr>
            </w:pPr>
            <w:r>
              <w:rPr>
                <w:rFonts w:ascii="Arial" w:cs="Arial" w:eastAsia="Arial" w:hAnsi="Arial"/>
                <w:sz w:val="14"/>
                <w:szCs w:val="14"/>
                <w:color w:val="auto"/>
                <w:w w:val="96"/>
              </w:rPr>
              <w:t>connection with the taxes paid related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160"/>
              <w:spacing w:after="0"/>
              <w:rPr>
                <w:sz w:val="20"/>
                <w:szCs w:val="20"/>
                <w:color w:val="auto"/>
              </w:rPr>
            </w:pPr>
            <w:r>
              <w:rPr>
                <w:rFonts w:ascii="Arial" w:cs="Arial" w:eastAsia="Arial" w:hAnsi="Arial"/>
                <w:sz w:val="14"/>
                <w:szCs w:val="14"/>
                <w:color w:val="auto"/>
                <w:w w:val="91"/>
              </w:rPr>
              <w:t>to net 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40" w:type="dxa"/>
            <w:vAlign w:val="bottom"/>
          </w:tcPr>
          <w:p>
            <w:pPr>
              <w:ind w:left="160"/>
              <w:spacing w:after="0" w:line="153" w:lineRule="exact"/>
              <w:rPr>
                <w:sz w:val="20"/>
                <w:szCs w:val="20"/>
                <w:color w:val="auto"/>
              </w:rPr>
            </w:pPr>
            <w:r>
              <w:rPr>
                <w:rFonts w:ascii="Arial" w:cs="Arial" w:eastAsia="Arial" w:hAnsi="Arial"/>
                <w:sz w:val="14"/>
                <w:szCs w:val="14"/>
                <w:color w:val="auto"/>
              </w:rPr>
              <w:t>Allocation of equity to noncontrolling</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160"/>
              <w:spacing w:after="0"/>
              <w:rPr>
                <w:sz w:val="20"/>
                <w:szCs w:val="20"/>
                <w:color w:val="auto"/>
              </w:rPr>
            </w:pPr>
            <w:r>
              <w:rPr>
                <w:rFonts w:ascii="Arial" w:cs="Arial" w:eastAsia="Arial" w:hAnsi="Arial"/>
                <w:sz w:val="14"/>
                <w:szCs w:val="14"/>
                <w:color w:val="auto"/>
              </w:rPr>
              <w:t>interests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40" w:type="dxa"/>
            <w:vAlign w:val="bottom"/>
          </w:tcPr>
          <w:p>
            <w:pPr>
              <w:ind w:left="160"/>
              <w:spacing w:after="0"/>
              <w:rPr>
                <w:sz w:val="20"/>
                <w:szCs w:val="20"/>
                <w:color w:val="auto"/>
              </w:rPr>
            </w:pPr>
            <w:r>
              <w:rPr>
                <w:rFonts w:ascii="Arial" w:cs="Arial" w:eastAsia="Arial" w:hAnsi="Arial"/>
                <w:sz w:val="14"/>
                <w:szCs w:val="14"/>
                <w:color w:val="auto"/>
              </w:rPr>
              <w:t>Accrued member tax distributions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440" w:type="dxa"/>
            <w:vAlign w:val="bottom"/>
          </w:tcPr>
          <w:p>
            <w:pPr>
              <w:ind w:left="160"/>
              <w:spacing w:after="0"/>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40" w:type="dxa"/>
            <w:vAlign w:val="bottom"/>
          </w:tcPr>
          <w:p>
            <w:pPr>
              <w:ind w:left="160"/>
              <w:spacing w:after="0"/>
              <w:rPr>
                <w:sz w:val="20"/>
                <w:szCs w:val="20"/>
                <w:color w:val="auto"/>
              </w:rPr>
            </w:pPr>
            <w:r>
              <w:rPr>
                <w:rFonts w:ascii="Arial" w:cs="Arial" w:eastAsia="Arial" w:hAnsi="Arial"/>
                <w:sz w:val="14"/>
                <w:szCs w:val="14"/>
                <w:color w:val="auto"/>
              </w:rPr>
              <w:t>Net loss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440" w:type="dxa"/>
            <w:vAlign w:val="bottom"/>
          </w:tcPr>
          <w:p>
            <w:pPr>
              <w:spacing w:after="0"/>
              <w:rPr>
                <w:sz w:val="20"/>
                <w:szCs w:val="20"/>
                <w:color w:val="auto"/>
              </w:rPr>
            </w:pPr>
            <w:r>
              <w:rPr>
                <w:rFonts w:ascii="Arial" w:cs="Arial" w:eastAsia="Arial" w:hAnsi="Arial"/>
                <w:sz w:val="14"/>
                <w:szCs w:val="14"/>
                <w:b w:val="1"/>
                <w:bCs w:val="1"/>
                <w:color w:val="auto"/>
              </w:rPr>
              <w:t>Balance as of June 30, 2022</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14,394</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47,082</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47</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-2704465</wp:posOffset>
            </wp:positionV>
            <wp:extent cx="6897370" cy="304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7370" cy="30416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-2095500</wp:posOffset>
            </wp:positionV>
            <wp:extent cx="6897370" cy="2197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7370" cy="2197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-1757680</wp:posOffset>
            </wp:positionV>
            <wp:extent cx="6897370" cy="127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7370" cy="12700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-1056005</wp:posOffset>
            </wp:positionV>
            <wp:extent cx="6897370"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7370" cy="30416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-532130</wp:posOffset>
            </wp:positionV>
            <wp:extent cx="6897370" cy="118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97370" cy="1181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-287020</wp:posOffset>
            </wp:positionV>
            <wp:extent cx="6897370" cy="127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7370" cy="12700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-1503680</wp:posOffset>
            </wp:positionV>
            <wp:extent cx="6897370" cy="143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97370" cy="143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jc w:val="right"/>
              <w:ind w:right="89"/>
              <w:spacing w:after="0"/>
              <w:rPr>
                <w:sz w:val="20"/>
                <w:szCs w:val="20"/>
                <w:color w:val="auto"/>
              </w:rPr>
            </w:pPr>
            <w:r>
              <w:rPr>
                <w:rFonts w:ascii="Arial" w:cs="Arial" w:eastAsia="Arial" w:hAnsi="Arial"/>
                <w:sz w:val="14"/>
                <w:szCs w:val="14"/>
                <w:color w:val="auto"/>
                <w:w w:val="83"/>
              </w:rPr>
              <w:t>82,888</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(20,139)</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222,412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282,57</w:t>
            </w:r>
          </w:p>
        </w:tc>
        <w:tc>
          <w:tcPr>
            <w:tcW w:w="0" w:type="dxa"/>
            <w:vAlign w:val="bottom"/>
          </w:tcPr>
          <w:p>
            <w:pPr>
              <w:spacing w:after="0"/>
              <w:rPr>
                <w:sz w:val="1"/>
                <w:szCs w:val="1"/>
                <w:color w:val="auto"/>
              </w:rPr>
            </w:pPr>
          </w:p>
        </w:tc>
      </w:tr>
      <w:tr>
        <w:trPr>
          <w:trHeight w:val="23"/>
        </w:trPr>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9"/>
        </w:trPr>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9"/>
        </w:trPr>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(2,648)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2,648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3"/>
        </w:trPr>
        <w:tc>
          <w:tcPr>
            <w:tcW w:w="540" w:type="dxa"/>
            <w:vAlign w:val="bottom"/>
          </w:tcPr>
          <w:p>
            <w:pPr>
              <w:jc w:val="right"/>
              <w:ind w:right="49"/>
              <w:spacing w:after="0"/>
              <w:rPr>
                <w:sz w:val="20"/>
                <w:szCs w:val="20"/>
                <w:color w:val="auto"/>
              </w:rPr>
            </w:pPr>
            <w:r>
              <w:rPr>
                <w:rFonts w:ascii="Arial" w:cs="Arial" w:eastAsia="Arial" w:hAnsi="Arial"/>
                <w:sz w:val="14"/>
                <w:szCs w:val="14"/>
                <w:color w:val="auto"/>
                <w:w w:val="90"/>
              </w:rPr>
              <w:t>(4,276)</w:t>
            </w:r>
          </w:p>
        </w:tc>
        <w:tc>
          <w:tcPr>
            <w:tcW w:w="240" w:type="dxa"/>
            <w:vAlign w:val="bottom"/>
          </w:tcPr>
          <w:p>
            <w:pPr>
              <w:spacing w:after="0"/>
              <w:rPr>
                <w:sz w:val="24"/>
                <w:szCs w:val="2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4,276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40" w:type="dxa"/>
            <w:vAlign w:val="bottom"/>
          </w:tcPr>
          <w:p>
            <w:pPr>
              <w:jc w:val="right"/>
              <w:ind w:right="49"/>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540" w:type="dxa"/>
            <w:vAlign w:val="bottom"/>
          </w:tcPr>
          <w:p>
            <w:pPr>
              <w:jc w:val="right"/>
              <w:ind w:right="89"/>
              <w:spacing w:after="0"/>
              <w:rPr>
                <w:sz w:val="20"/>
                <w:szCs w:val="20"/>
                <w:color w:val="auto"/>
              </w:rPr>
            </w:pPr>
            <w:r>
              <w:rPr>
                <w:rFonts w:ascii="Arial" w:cs="Arial" w:eastAsia="Arial" w:hAnsi="Arial"/>
                <w:sz w:val="14"/>
                <w:szCs w:val="14"/>
                <w:color w:val="auto"/>
              </w:rPr>
              <w:t>7,326</w:t>
            </w:r>
          </w:p>
        </w:tc>
        <w:tc>
          <w:tcPr>
            <w:tcW w:w="24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200"/>
        </w:trPr>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(3,192)</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(10,371)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25"/>
        </w:trPr>
        <w:tc>
          <w:tcPr>
            <w:tcW w:w="540" w:type="dxa"/>
            <w:vAlign w:val="bottom"/>
            <w:vMerge w:val="restart"/>
          </w:tcPr>
          <w:p>
            <w:pPr>
              <w:jc w:val="right"/>
              <w:ind w:right="89"/>
              <w:spacing w:after="0"/>
              <w:rPr>
                <w:sz w:val="20"/>
                <w:szCs w:val="20"/>
                <w:color w:val="auto"/>
              </w:rPr>
            </w:pPr>
            <w:r>
              <w:rPr>
                <w:rFonts w:ascii="Arial" w:cs="Arial" w:eastAsia="Arial" w:hAnsi="Arial"/>
                <w:sz w:val="14"/>
                <w:szCs w:val="14"/>
                <w:color w:val="auto"/>
                <w:w w:val="83"/>
              </w:rPr>
              <w:t>85,926</w:t>
            </w: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40" w:type="dxa"/>
            <w:vAlign w:val="bottom"/>
            <w:vMerge w:val="continue"/>
          </w:tcPr>
          <w:p>
            <w:pPr>
              <w:spacing w:after="0"/>
              <w:rPr>
                <w:sz w:val="15"/>
                <w:szCs w:val="15"/>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(25,979)</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216,317</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276,32</w:t>
            </w:r>
          </w:p>
        </w:tc>
        <w:tc>
          <w:tcPr>
            <w:tcW w:w="0" w:type="dxa"/>
            <w:vAlign w:val="bottom"/>
          </w:tcPr>
          <w:p>
            <w:pPr>
              <w:spacing w:after="0"/>
              <w:rPr>
                <w:sz w:val="1"/>
                <w:szCs w:val="1"/>
                <w:color w:val="auto"/>
              </w:rPr>
            </w:pPr>
          </w:p>
        </w:tc>
      </w:tr>
      <w:tr>
        <w:trPr>
          <w:trHeight w:val="23"/>
        </w:trPr>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5"/>
        </w:trPr>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9"/>
        </w:trPr>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(861)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333"/>
        </w:trPr>
        <w:tc>
          <w:tcPr>
            <w:tcW w:w="540" w:type="dxa"/>
            <w:vAlign w:val="bottom"/>
          </w:tcPr>
          <w:p>
            <w:pPr>
              <w:jc w:val="right"/>
              <w:ind w:right="49"/>
              <w:spacing w:after="0"/>
              <w:rPr>
                <w:sz w:val="20"/>
                <w:szCs w:val="20"/>
                <w:color w:val="auto"/>
              </w:rPr>
            </w:pPr>
            <w:r>
              <w:rPr>
                <w:rFonts w:ascii="Arial" w:cs="Arial" w:eastAsia="Arial" w:hAnsi="Arial"/>
                <w:sz w:val="14"/>
                <w:szCs w:val="14"/>
                <w:color w:val="auto"/>
                <w:w w:val="90"/>
              </w:rPr>
              <w:t>(5,455)</w:t>
            </w:r>
          </w:p>
        </w:tc>
        <w:tc>
          <w:tcPr>
            <w:tcW w:w="240" w:type="dxa"/>
            <w:vAlign w:val="bottom"/>
          </w:tcPr>
          <w:p>
            <w:pPr>
              <w:spacing w:after="0"/>
              <w:rPr>
                <w:sz w:val="24"/>
                <w:szCs w:val="2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5,455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40" w:type="dxa"/>
            <w:vAlign w:val="bottom"/>
          </w:tcPr>
          <w:p>
            <w:pPr>
              <w:jc w:val="right"/>
              <w:ind w:right="49"/>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540" w:type="dxa"/>
            <w:vAlign w:val="bottom"/>
          </w:tcPr>
          <w:p>
            <w:pPr>
              <w:jc w:val="right"/>
              <w:ind w:right="89"/>
              <w:spacing w:after="0"/>
              <w:rPr>
                <w:sz w:val="20"/>
                <w:szCs w:val="20"/>
                <w:color w:val="auto"/>
              </w:rPr>
            </w:pPr>
            <w:r>
              <w:rPr>
                <w:rFonts w:ascii="Arial" w:cs="Arial" w:eastAsia="Arial" w:hAnsi="Arial"/>
                <w:sz w:val="14"/>
                <w:szCs w:val="14"/>
                <w:color w:val="auto"/>
              </w:rPr>
              <w:t>8,821</w:t>
            </w:r>
          </w:p>
        </w:tc>
        <w:tc>
          <w:tcPr>
            <w:tcW w:w="24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200"/>
        </w:trPr>
        <w:tc>
          <w:tcPr>
            <w:tcW w:w="5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(3,401)</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(14,09</w:t>
            </w:r>
          </w:p>
        </w:tc>
        <w:tc>
          <w:tcPr>
            <w:tcW w:w="0" w:type="dxa"/>
            <w:vAlign w:val="bottom"/>
          </w:tcPr>
          <w:p>
            <w:pPr>
              <w:spacing w:after="0"/>
              <w:rPr>
                <w:sz w:val="1"/>
                <w:szCs w:val="1"/>
                <w:color w:val="auto"/>
              </w:rPr>
            </w:pPr>
          </w:p>
        </w:tc>
      </w:tr>
      <w:tr>
        <w:trPr>
          <w:trHeight w:val="25"/>
        </w:trPr>
        <w:tc>
          <w:tcPr>
            <w:tcW w:w="540" w:type="dxa"/>
            <w:vAlign w:val="bottom"/>
            <w:vMerge w:val="restart"/>
          </w:tcPr>
          <w:p>
            <w:pPr>
              <w:jc w:val="right"/>
              <w:ind w:right="89"/>
              <w:spacing w:after="0"/>
              <w:rPr>
                <w:sz w:val="20"/>
                <w:szCs w:val="20"/>
                <w:color w:val="auto"/>
              </w:rPr>
            </w:pPr>
            <w:r>
              <w:rPr>
                <w:rFonts w:ascii="Arial" w:cs="Arial" w:eastAsia="Arial" w:hAnsi="Arial"/>
                <w:sz w:val="14"/>
                <w:szCs w:val="14"/>
                <w:color w:val="auto"/>
                <w:w w:val="83"/>
              </w:rPr>
              <w:t>89,276</w:t>
            </w: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40" w:type="dxa"/>
            <w:vAlign w:val="bottom"/>
            <w:vMerge w:val="continue"/>
          </w:tcPr>
          <w:p>
            <w:pPr>
              <w:spacing w:after="0"/>
              <w:rPr>
                <w:sz w:val="15"/>
                <w:szCs w:val="15"/>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(29,380)</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(861)</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211,081</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270,17</w:t>
            </w:r>
          </w:p>
        </w:tc>
        <w:tc>
          <w:tcPr>
            <w:tcW w:w="0" w:type="dxa"/>
            <w:vAlign w:val="bottom"/>
          </w:tcPr>
          <w:p>
            <w:pPr>
              <w:spacing w:after="0"/>
              <w:rPr>
                <w:sz w:val="1"/>
                <w:szCs w:val="1"/>
                <w:color w:val="auto"/>
              </w:rPr>
            </w:pPr>
          </w:p>
        </w:tc>
      </w:tr>
      <w:tr>
        <w:trPr>
          <w:trHeight w:val="23"/>
        </w:trPr>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-2907030</wp:posOffset>
            </wp:positionV>
            <wp:extent cx="4819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196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-1351915</wp:posOffset>
            </wp:positionV>
            <wp:extent cx="4819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196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-160020</wp:posOffset>
            </wp:positionV>
            <wp:extent cx="4819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196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-33020</wp:posOffset>
            </wp:positionV>
            <wp:extent cx="4819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196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-7620</wp:posOffset>
            </wp:positionV>
            <wp:extent cx="4819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220"/>
            <w:col w:w="4800"/>
          </w:cols>
          <w:pgMar w:left="820" w:top="121" w:right="239" w:bottom="1440" w:gutter="0" w:footer="0" w:header="0"/>
          <w:type w:val="continuous"/>
        </w:sectPr>
      </w:pPr>
    </w:p>
    <w:p>
      <w:pPr>
        <w:spacing w:after="0" w:line="94" w:lineRule="exact"/>
        <w:rPr>
          <w:sz w:val="20"/>
          <w:szCs w:val="20"/>
          <w:color w:val="auto"/>
        </w:rPr>
      </w:pPr>
    </w:p>
    <w:p>
      <w:pPr>
        <w:jc w:val="center"/>
        <w:ind w:right="120"/>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66675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40"/>
          </w:cols>
          <w:pgMar w:left="820" w:top="121" w:right="239" w:bottom="144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7940"/>
        <w:spacing w:after="0"/>
        <w:rPr>
          <w:sz w:val="20"/>
          <w:szCs w:val="20"/>
          <w:color w:val="auto"/>
        </w:rPr>
      </w:pPr>
      <w:r>
        <w:rPr>
          <w:rFonts w:ascii="Arial" w:cs="Arial" w:eastAsia="Arial" w:hAnsi="Arial"/>
          <w:sz w:val="18"/>
          <w:szCs w:val="18"/>
          <w:b w:val="1"/>
          <w:bCs w:val="1"/>
          <w:color w:val="auto"/>
        </w:rPr>
        <w:t>Six Months Ended</w:t>
      </w:r>
    </w:p>
    <w:p>
      <w:pPr>
        <w:jc w:val="center"/>
        <w:ind w:left="7940"/>
        <w:spacing w:after="0"/>
        <w:rPr>
          <w:sz w:val="20"/>
          <w:szCs w:val="20"/>
          <w:color w:val="auto"/>
        </w:rPr>
      </w:pPr>
      <w:r>
        <w:rPr>
          <w:rFonts w:ascii="Arial" w:cs="Arial" w:eastAsia="Arial" w:hAnsi="Arial"/>
          <w:sz w:val="18"/>
          <w:szCs w:val="18"/>
          <w:b w:val="1"/>
          <w:bCs w:val="1"/>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7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(12,579)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(27,655)</w:t>
            </w:r>
          </w:p>
        </w:tc>
      </w:tr>
      <w:tr>
        <w:trPr>
          <w:trHeight w:val="227"/>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2"/>
        </w:trPr>
        <w:tc>
          <w:tcPr>
            <w:tcW w:w="74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6,380</w:t>
            </w:r>
          </w:p>
        </w:tc>
      </w:tr>
      <w:tr>
        <w:trPr>
          <w:trHeight w:val="234"/>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14,144</w:t>
            </w:r>
          </w:p>
        </w:tc>
      </w:tr>
      <w:tr>
        <w:trPr>
          <w:trHeight w:val="226"/>
        </w:trPr>
        <w:tc>
          <w:tcPr>
            <w:tcW w:w="746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40"/>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on disposal of assets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6"/>
        </w:trPr>
        <w:tc>
          <w:tcPr>
            <w:tcW w:w="7460" w:type="dxa"/>
            <w:vAlign w:val="bottom"/>
          </w:tcPr>
          <w:p>
            <w:pPr>
              <w:ind w:left="260"/>
              <w:spacing w:after="0"/>
              <w:rPr>
                <w:sz w:val="20"/>
                <w:szCs w:val="20"/>
                <w:color w:val="auto"/>
              </w:rPr>
            </w:pPr>
            <w:r>
              <w:rPr>
                <w:rFonts w:ascii="Arial" w:cs="Arial" w:eastAsia="Arial" w:hAnsi="Arial"/>
                <w:sz w:val="18"/>
                <w:szCs w:val="18"/>
                <w:color w:val="auto"/>
              </w:rPr>
              <w:t>Noncash lease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27"/>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2"/>
        </w:trPr>
        <w:tc>
          <w:tcPr>
            <w:tcW w:w="74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11,433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17,206</w:t>
            </w:r>
          </w:p>
        </w:tc>
      </w:tr>
      <w:tr>
        <w:trPr>
          <w:trHeight w:val="234"/>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6"/>
        </w:trPr>
        <w:tc>
          <w:tcPr>
            <w:tcW w:w="74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(4,652)</w:t>
            </w:r>
          </w:p>
        </w:tc>
      </w:tr>
      <w:tr>
        <w:trPr>
          <w:trHeight w:val="240"/>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r>
      <w:tr>
        <w:trPr>
          <w:trHeight w:val="226"/>
        </w:trPr>
        <w:tc>
          <w:tcPr>
            <w:tcW w:w="746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(4,607)</w:t>
            </w:r>
          </w:p>
        </w:tc>
      </w:tr>
      <w:tr>
        <w:trPr>
          <w:trHeight w:val="227"/>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r>
      <w:tr>
        <w:trPr>
          <w:trHeight w:val="232"/>
        </w:trPr>
        <w:tc>
          <w:tcPr>
            <w:tcW w:w="746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33"/>
        </w:trPr>
        <w:tc>
          <w:tcPr>
            <w:tcW w:w="7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20"/>
        </w:trPr>
        <w:tc>
          <w:tcPr>
            <w:tcW w:w="7460" w:type="dxa"/>
            <w:vAlign w:val="bottom"/>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w:t>
            </w: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2"/>
        </w:trPr>
        <w:tc>
          <w:tcPr>
            <w:tcW w:w="746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34"/>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Capitalized software development costs</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w:t>
            </w:r>
          </w:p>
        </w:tc>
      </w:tr>
      <w:tr>
        <w:trPr>
          <w:trHeight w:val="219"/>
        </w:trPr>
        <w:tc>
          <w:tcPr>
            <w:tcW w:w="746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w:t>
            </w: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7460" w:type="dxa"/>
            <w:vAlign w:val="bottom"/>
          </w:tcPr>
          <w:p>
            <w:pPr>
              <w:ind w:left="260"/>
              <w:spacing w:after="0"/>
              <w:rPr>
                <w:sz w:val="20"/>
                <w:szCs w:val="20"/>
                <w:color w:val="auto"/>
              </w:rPr>
            </w:pPr>
            <w:r>
              <w:rPr>
                <w:rFonts w:ascii="Arial" w:cs="Arial" w:eastAsia="Arial" w:hAnsi="Arial"/>
                <w:sz w:val="18"/>
                <w:szCs w:val="18"/>
                <w:color w:val="auto"/>
              </w:rPr>
              <w:t>Taxes paid related to net share settlement of equity awards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(861)</w:t>
            </w:r>
          </w:p>
        </w:tc>
      </w:tr>
      <w:tr>
        <w:trPr>
          <w:trHeight w:val="240"/>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 of member tax distributions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7460" w:type="dxa"/>
            <w:vAlign w:val="bottom"/>
          </w:tcPr>
          <w:p>
            <w:pPr>
              <w:ind w:left="260"/>
              <w:spacing w:after="0"/>
              <w:rPr>
                <w:sz w:val="20"/>
                <w:szCs w:val="20"/>
                <w:color w:val="auto"/>
              </w:rPr>
            </w:pPr>
            <w:r>
              <w:rPr>
                <w:rFonts w:ascii="Arial" w:cs="Arial" w:eastAsia="Arial" w:hAnsi="Arial"/>
                <w:sz w:val="18"/>
                <w:szCs w:val="18"/>
                <w:color w:val="auto"/>
              </w:rPr>
              <w:t>Repayment of revolving credit facility</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r>
      <w:tr>
        <w:trPr>
          <w:trHeight w:val="220"/>
        </w:trPr>
        <w:tc>
          <w:tcPr>
            <w:tcW w:w="7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(18,375)</w:t>
            </w:r>
          </w:p>
        </w:tc>
      </w:tr>
      <w:tr>
        <w:trPr>
          <w:trHeight w:val="228"/>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(31,232)</w:t>
            </w:r>
          </w:p>
        </w:tc>
      </w:tr>
      <w:tr>
        <w:trPr>
          <w:trHeight w:val="231"/>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206,573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238,480</w:t>
            </w:r>
          </w:p>
        </w:tc>
      </w:tr>
      <w:tr>
        <w:trPr>
          <w:trHeight w:val="220"/>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203,901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207,248</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0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6"/>
        </w:trPr>
        <w:tc>
          <w:tcPr>
            <w:tcW w:w="746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7"/>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2"/>
        </w:trPr>
        <w:tc>
          <w:tcPr>
            <w:tcW w:w="7460" w:type="dxa"/>
            <w:vAlign w:val="bottom"/>
          </w:tcPr>
          <w:p>
            <w:pPr>
              <w:ind w:left="260"/>
              <w:spacing w:after="0"/>
              <w:rPr>
                <w:sz w:val="20"/>
                <w:szCs w:val="20"/>
                <w:color w:val="auto"/>
              </w:rPr>
            </w:pPr>
            <w:r>
              <w:rPr>
                <w:rFonts w:ascii="Arial" w:cs="Arial" w:eastAsia="Arial" w:hAnsi="Arial"/>
                <w:sz w:val="18"/>
                <w:szCs w:val="18"/>
                <w:color w:val="auto"/>
              </w:rPr>
              <w:t>Stock-based compensation included in capitalized software development costs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2,921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34"/>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 assets obtained in exchange for operating lease liabilities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460" w:type="dxa"/>
            <w:vAlign w:val="bottom"/>
          </w:tcPr>
          <w:p>
            <w:pPr>
              <w:ind w:left="260"/>
              <w:spacing w:after="0"/>
              <w:rPr>
                <w:sz w:val="20"/>
                <w:szCs w:val="20"/>
                <w:color w:val="auto"/>
              </w:rPr>
            </w:pPr>
            <w:r>
              <w:rPr>
                <w:rFonts w:ascii="Arial" w:cs="Arial" w:eastAsia="Arial" w:hAnsi="Arial"/>
                <w:sz w:val="18"/>
                <w:szCs w:val="18"/>
                <w:color w:val="auto"/>
              </w:rPr>
              <w:t>Capitalized assets financed by accounts payable and accrued liabilities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40"/>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member tax distributions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66675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00"/>
          </w:cols>
          <w:pgMar w:left="1040" w:top="121" w:right="559" w:bottom="1440" w:gutter="0" w:footer="0" w:header="0"/>
        </w:sectPr>
      </w:pPr>
    </w:p>
    <w:bookmarkStart w:id="8" w:name="page9"/>
    <w:bookmarkEnd w:id="8"/>
    <w:p>
      <w:pPr>
        <w:jc w:val="center"/>
        <w:ind w:left="46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Page</w:t>
            </w:r>
          </w:p>
        </w:tc>
      </w:tr>
      <w:tr>
        <w:trPr>
          <w:trHeight w:val="181"/>
        </w:trPr>
        <w:tc>
          <w:tcPr>
            <w:tcW w:w="960" w:type="dxa"/>
            <w:vAlign w:val="bottom"/>
          </w:tcPr>
          <w:p>
            <w:pPr>
              <w:spacing w:after="0" w:line="181" w:lineRule="exact"/>
              <w:rPr>
                <w:sz w:val="20"/>
                <w:szCs w:val="20"/>
                <w:color w:val="auto"/>
              </w:rPr>
            </w:pPr>
            <w:r>
              <w:rPr>
                <w:rFonts w:ascii="Arial" w:cs="Arial" w:eastAsia="Arial" w:hAnsi="Arial"/>
                <w:sz w:val="18"/>
                <w:szCs w:val="18"/>
                <w:color w:val="auto"/>
              </w:rPr>
              <w:t>Note 1</w:t>
            </w:r>
          </w:p>
        </w:tc>
        <w:tc>
          <w:tcPr>
            <w:tcW w:w="1500" w:type="dxa"/>
            <w:vAlign w:val="bottom"/>
            <w:tcBorders>
              <w:bottom w:val="single" w:sz="8" w:color="0000FF"/>
            </w:tcBorders>
            <w:gridSpan w:val="5"/>
          </w:tcPr>
          <w:p>
            <w:pPr>
              <w:spacing w:after="0" w:line="181" w:lineRule="exact"/>
              <w:rPr>
                <w:sz w:val="20"/>
                <w:szCs w:val="20"/>
                <w:color w:val="auto"/>
              </w:rPr>
            </w:pPr>
            <w:r>
              <w:rPr>
                <w:rFonts w:ascii="Arial" w:cs="Arial" w:eastAsia="Arial" w:hAnsi="Arial"/>
                <w:sz w:val="18"/>
                <w:szCs w:val="18"/>
                <w:color w:val="0000FF"/>
                <w:w w:val="88"/>
              </w:rPr>
              <w:t>Nature of Operations</w:t>
            </w:r>
          </w:p>
        </w:tc>
        <w:tc>
          <w:tcPr>
            <w:tcW w:w="7180" w:type="dxa"/>
            <w:vAlign w:val="bottom"/>
            <w:gridSpan w:val="9"/>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color w:val="auto"/>
              </w:rPr>
              <w:t>9</w:t>
            </w:r>
          </w:p>
        </w:tc>
      </w:tr>
      <w:tr>
        <w:trPr>
          <w:trHeight w:val="220"/>
        </w:trPr>
        <w:tc>
          <w:tcPr>
            <w:tcW w:w="960" w:type="dxa"/>
            <w:vAlign w:val="bottom"/>
          </w:tcPr>
          <w:p>
            <w:pPr>
              <w:spacing w:after="0"/>
              <w:rPr>
                <w:sz w:val="20"/>
                <w:szCs w:val="20"/>
                <w:color w:val="auto"/>
              </w:rPr>
            </w:pPr>
            <w:r>
              <w:rPr>
                <w:rFonts w:ascii="Arial" w:cs="Arial" w:eastAsia="Arial" w:hAnsi="Arial"/>
                <w:sz w:val="18"/>
                <w:szCs w:val="18"/>
                <w:color w:val="auto"/>
              </w:rPr>
              <w:t>Note 2</w:t>
            </w:r>
          </w:p>
        </w:tc>
        <w:tc>
          <w:tcPr>
            <w:tcW w:w="50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Basis of Presentation and Summary of Significant Accounting Policies</w:t>
            </w:r>
          </w:p>
        </w:tc>
        <w:tc>
          <w:tcPr>
            <w:tcW w:w="3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6"/>
        </w:trPr>
        <w:tc>
          <w:tcPr>
            <w:tcW w:w="960" w:type="dxa"/>
            <w:vAlign w:val="bottom"/>
          </w:tcPr>
          <w:p>
            <w:pPr>
              <w:spacing w:after="0"/>
              <w:rPr>
                <w:sz w:val="20"/>
                <w:szCs w:val="20"/>
                <w:color w:val="auto"/>
              </w:rPr>
            </w:pPr>
            <w:r>
              <w:rPr>
                <w:rFonts w:ascii="Arial" w:cs="Arial" w:eastAsia="Arial" w:hAnsi="Arial"/>
                <w:sz w:val="18"/>
                <w:szCs w:val="18"/>
                <w:color w:val="auto"/>
              </w:rPr>
              <w:t>Note 3</w:t>
            </w:r>
          </w:p>
        </w:tc>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3"/>
              </w:rPr>
              <w:t>Revenue</w:t>
            </w:r>
          </w:p>
        </w:tc>
        <w:tc>
          <w:tcPr>
            <w:tcW w:w="8060" w:type="dxa"/>
            <w:vAlign w:val="bottom"/>
            <w:gridSpan w:val="12"/>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6"/>
        </w:trPr>
        <w:tc>
          <w:tcPr>
            <w:tcW w:w="960" w:type="dxa"/>
            <w:vAlign w:val="bottom"/>
          </w:tcPr>
          <w:p>
            <w:pPr>
              <w:spacing w:after="0"/>
              <w:rPr>
                <w:sz w:val="20"/>
                <w:szCs w:val="20"/>
                <w:color w:val="auto"/>
              </w:rPr>
            </w:pPr>
            <w:r>
              <w:rPr>
                <w:rFonts w:ascii="Arial" w:cs="Arial" w:eastAsia="Arial" w:hAnsi="Arial"/>
                <w:sz w:val="18"/>
                <w:szCs w:val="18"/>
                <w:color w:val="auto"/>
              </w:rPr>
              <w:t>Note 4</w:t>
            </w:r>
          </w:p>
        </w:tc>
        <w:tc>
          <w:tcPr>
            <w:tcW w:w="28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Property, Equipment, and Software, Net</w:t>
            </w:r>
          </w:p>
        </w:tc>
        <w:tc>
          <w:tcPr>
            <w:tcW w:w="5840" w:type="dxa"/>
            <w:vAlign w:val="bottom"/>
            <w:gridSpan w:val="3"/>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0"/>
        </w:trPr>
        <w:tc>
          <w:tcPr>
            <w:tcW w:w="960" w:type="dxa"/>
            <w:vAlign w:val="bottom"/>
          </w:tcPr>
          <w:p>
            <w:pPr>
              <w:spacing w:after="0"/>
              <w:rPr>
                <w:sz w:val="20"/>
                <w:szCs w:val="20"/>
                <w:color w:val="auto"/>
              </w:rPr>
            </w:pPr>
            <w:r>
              <w:rPr>
                <w:rFonts w:ascii="Arial" w:cs="Arial" w:eastAsia="Arial" w:hAnsi="Arial"/>
                <w:sz w:val="18"/>
                <w:szCs w:val="18"/>
                <w:color w:val="auto"/>
              </w:rPr>
              <w:t>Note 5</w:t>
            </w:r>
          </w:p>
        </w:tc>
        <w:tc>
          <w:tcPr>
            <w:tcW w:w="4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Leases</w:t>
            </w:r>
          </w:p>
        </w:tc>
        <w:tc>
          <w:tcPr>
            <w:tcW w:w="8200" w:type="dxa"/>
            <w:vAlign w:val="bottom"/>
            <w:gridSpan w:val="13"/>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6"/>
        </w:trPr>
        <w:tc>
          <w:tcPr>
            <w:tcW w:w="960" w:type="dxa"/>
            <w:vAlign w:val="bottom"/>
          </w:tcPr>
          <w:p>
            <w:pPr>
              <w:spacing w:after="0"/>
              <w:rPr>
                <w:sz w:val="20"/>
                <w:szCs w:val="20"/>
                <w:color w:val="auto"/>
              </w:rPr>
            </w:pPr>
            <w:r>
              <w:rPr>
                <w:rFonts w:ascii="Arial" w:cs="Arial" w:eastAsia="Arial" w:hAnsi="Arial"/>
                <w:sz w:val="18"/>
                <w:szCs w:val="18"/>
                <w:color w:val="auto"/>
              </w:rPr>
              <w:t>Note 6</w:t>
            </w:r>
          </w:p>
        </w:tc>
        <w:tc>
          <w:tcPr>
            <w:tcW w:w="15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7"/>
              </w:rPr>
              <w:t>Intangible Assets, Net</w:t>
            </w:r>
          </w:p>
        </w:tc>
        <w:tc>
          <w:tcPr>
            <w:tcW w:w="7120" w:type="dxa"/>
            <w:vAlign w:val="bottom"/>
            <w:gridSpan w:val="8"/>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6"/>
        </w:trPr>
        <w:tc>
          <w:tcPr>
            <w:tcW w:w="960" w:type="dxa"/>
            <w:vAlign w:val="bottom"/>
          </w:tcPr>
          <w:p>
            <w:pPr>
              <w:spacing w:after="0"/>
              <w:rPr>
                <w:sz w:val="20"/>
                <w:szCs w:val="20"/>
                <w:color w:val="auto"/>
              </w:rPr>
            </w:pPr>
            <w:r>
              <w:rPr>
                <w:rFonts w:ascii="Arial" w:cs="Arial" w:eastAsia="Arial" w:hAnsi="Arial"/>
                <w:sz w:val="18"/>
                <w:szCs w:val="18"/>
                <w:color w:val="auto"/>
              </w:rPr>
              <w:t>Note 7</w:t>
            </w:r>
          </w:p>
        </w:tc>
        <w:tc>
          <w:tcPr>
            <w:tcW w:w="13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Accrued Liabilities</w:t>
            </w:r>
          </w:p>
        </w:tc>
        <w:tc>
          <w:tcPr>
            <w:tcW w:w="7320" w:type="dxa"/>
            <w:vAlign w:val="bottom"/>
            <w:gridSpan w:val="10"/>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0"/>
        </w:trPr>
        <w:tc>
          <w:tcPr>
            <w:tcW w:w="960" w:type="dxa"/>
            <w:vAlign w:val="bottom"/>
          </w:tcPr>
          <w:p>
            <w:pPr>
              <w:spacing w:after="0"/>
              <w:rPr>
                <w:sz w:val="20"/>
                <w:szCs w:val="20"/>
                <w:color w:val="auto"/>
              </w:rPr>
            </w:pPr>
            <w:r>
              <w:rPr>
                <w:rFonts w:ascii="Arial" w:cs="Arial" w:eastAsia="Arial" w:hAnsi="Arial"/>
                <w:sz w:val="18"/>
                <w:szCs w:val="18"/>
                <w:color w:val="auto"/>
              </w:rPr>
              <w:t>Note 8</w:t>
            </w:r>
          </w:p>
        </w:tc>
        <w:tc>
          <w:tcPr>
            <w:tcW w:w="8680" w:type="dxa"/>
            <w:vAlign w:val="bottom"/>
            <w:gridSpan w:val="14"/>
          </w:tcPr>
          <w:p>
            <w:pPr>
              <w:spacing w:after="0"/>
              <w:rPr>
                <w:sz w:val="20"/>
                <w:szCs w:val="20"/>
                <w:color w:val="auto"/>
              </w:rPr>
            </w:pPr>
            <w:r>
              <w:rPr>
                <w:rFonts w:ascii="Arial" w:cs="Arial" w:eastAsia="Arial" w:hAnsi="Arial"/>
                <w:sz w:val="18"/>
                <w:szCs w:val="18"/>
                <w:color w:val="0000FF"/>
              </w:rPr>
              <w:t>Revolving Credit Facility</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96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6"/>
        </w:trPr>
        <w:tc>
          <w:tcPr>
            <w:tcW w:w="960" w:type="dxa"/>
            <w:vAlign w:val="bottom"/>
          </w:tcPr>
          <w:p>
            <w:pPr>
              <w:spacing w:after="0"/>
              <w:rPr>
                <w:sz w:val="20"/>
                <w:szCs w:val="20"/>
                <w:color w:val="auto"/>
              </w:rPr>
            </w:pPr>
            <w:r>
              <w:rPr>
                <w:rFonts w:ascii="Arial" w:cs="Arial" w:eastAsia="Arial" w:hAnsi="Arial"/>
                <w:sz w:val="18"/>
                <w:szCs w:val="18"/>
                <w:color w:val="auto"/>
              </w:rPr>
              <w:t>Note 9</w:t>
            </w:r>
          </w:p>
        </w:tc>
        <w:tc>
          <w:tcPr>
            <w:tcW w:w="8680" w:type="dxa"/>
            <w:vAlign w:val="bottom"/>
            <w:gridSpan w:val="14"/>
          </w:tcPr>
          <w:p>
            <w:pPr>
              <w:spacing w:after="0"/>
              <w:rPr>
                <w:sz w:val="20"/>
                <w:szCs w:val="20"/>
                <w:color w:val="auto"/>
              </w:rPr>
            </w:pPr>
            <w:r>
              <w:rPr>
                <w:rFonts w:ascii="Arial" w:cs="Arial" w:eastAsia="Arial" w:hAnsi="Arial"/>
                <w:sz w:val="18"/>
                <w:szCs w:val="18"/>
                <w:color w:val="0000FF"/>
              </w:rPr>
              <w:t>Stock-Based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96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6"/>
        </w:trPr>
        <w:tc>
          <w:tcPr>
            <w:tcW w:w="960" w:type="dxa"/>
            <w:vAlign w:val="bottom"/>
          </w:tcPr>
          <w:p>
            <w:pPr>
              <w:spacing w:after="0"/>
              <w:rPr>
                <w:sz w:val="20"/>
                <w:szCs w:val="20"/>
                <w:color w:val="auto"/>
              </w:rPr>
            </w:pPr>
            <w:r>
              <w:rPr>
                <w:rFonts w:ascii="Arial" w:cs="Arial" w:eastAsia="Arial" w:hAnsi="Arial"/>
                <w:sz w:val="18"/>
                <w:szCs w:val="18"/>
                <w:color w:val="auto"/>
              </w:rPr>
              <w:t>Note 10</w:t>
            </w:r>
          </w:p>
        </w:tc>
        <w:tc>
          <w:tcPr>
            <w:tcW w:w="32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6"/>
              </w:rPr>
              <w:t>Income Taxes and Tax Receivable Agreement</w:t>
            </w:r>
          </w:p>
        </w:tc>
        <w:tc>
          <w:tcPr>
            <w:tcW w:w="5440" w:type="dxa"/>
            <w:vAlign w:val="bottom"/>
            <w:gridSpan w:val="2"/>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0"/>
        </w:trPr>
        <w:tc>
          <w:tcPr>
            <w:tcW w:w="960" w:type="dxa"/>
            <w:vAlign w:val="bottom"/>
          </w:tcPr>
          <w:p>
            <w:pPr>
              <w:spacing w:after="0"/>
              <w:rPr>
                <w:sz w:val="20"/>
                <w:szCs w:val="20"/>
                <w:color w:val="auto"/>
              </w:rPr>
            </w:pPr>
            <w:r>
              <w:rPr>
                <w:rFonts w:ascii="Arial" w:cs="Arial" w:eastAsia="Arial" w:hAnsi="Arial"/>
                <w:sz w:val="18"/>
                <w:szCs w:val="18"/>
                <w:color w:val="auto"/>
              </w:rPr>
              <w:t>Note 11</w:t>
            </w:r>
          </w:p>
        </w:tc>
        <w:tc>
          <w:tcPr>
            <w:tcW w:w="10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3"/>
              </w:rPr>
              <w:t>Loss Per Share</w:t>
            </w:r>
          </w:p>
        </w:tc>
        <w:tc>
          <w:tcPr>
            <w:tcW w:w="7620" w:type="dxa"/>
            <w:vAlign w:val="bottom"/>
            <w:gridSpan w:val="11"/>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6"/>
        </w:trPr>
        <w:tc>
          <w:tcPr>
            <w:tcW w:w="960" w:type="dxa"/>
            <w:vAlign w:val="bottom"/>
          </w:tcPr>
          <w:p>
            <w:pPr>
              <w:spacing w:after="0"/>
              <w:rPr>
                <w:sz w:val="20"/>
                <w:szCs w:val="20"/>
                <w:color w:val="auto"/>
              </w:rPr>
            </w:pPr>
            <w:r>
              <w:rPr>
                <w:rFonts w:ascii="Arial" w:cs="Arial" w:eastAsia="Arial" w:hAnsi="Arial"/>
                <w:sz w:val="18"/>
                <w:szCs w:val="18"/>
                <w:color w:val="auto"/>
              </w:rPr>
              <w:t>Note 12</w:t>
            </w:r>
          </w:p>
        </w:tc>
        <w:tc>
          <w:tcPr>
            <w:tcW w:w="8680" w:type="dxa"/>
            <w:vAlign w:val="bottom"/>
            <w:gridSpan w:val="14"/>
          </w:tcPr>
          <w:p>
            <w:pPr>
              <w:spacing w:after="0"/>
              <w:rPr>
                <w:sz w:val="20"/>
                <w:szCs w:val="20"/>
                <w:color w:val="auto"/>
              </w:rPr>
            </w:pPr>
            <w:r>
              <w:rPr>
                <w:rFonts w:ascii="Arial" w:cs="Arial" w:eastAsia="Arial" w:hAnsi="Arial"/>
                <w:sz w:val="18"/>
                <w:szCs w:val="18"/>
                <w:color w:val="0000FF"/>
              </w:rPr>
              <w:t>Noncontrolling Interests</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960" w:type="dxa"/>
            <w:vAlign w:val="bottom"/>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6"/>
        </w:trPr>
        <w:tc>
          <w:tcPr>
            <w:tcW w:w="960" w:type="dxa"/>
            <w:vAlign w:val="bottom"/>
          </w:tcPr>
          <w:p>
            <w:pPr>
              <w:spacing w:after="0"/>
              <w:rPr>
                <w:sz w:val="20"/>
                <w:szCs w:val="20"/>
                <w:color w:val="auto"/>
              </w:rPr>
            </w:pPr>
            <w:r>
              <w:rPr>
                <w:rFonts w:ascii="Arial" w:cs="Arial" w:eastAsia="Arial" w:hAnsi="Arial"/>
                <w:sz w:val="18"/>
                <w:szCs w:val="18"/>
                <w:color w:val="auto"/>
              </w:rPr>
              <w:t>Note 13</w:t>
            </w:r>
          </w:p>
        </w:tc>
        <w:tc>
          <w:tcPr>
            <w:tcW w:w="8680" w:type="dxa"/>
            <w:vAlign w:val="bottom"/>
            <w:gridSpan w:val="14"/>
          </w:tcPr>
          <w:p>
            <w:pPr>
              <w:spacing w:after="0"/>
              <w:rPr>
                <w:sz w:val="20"/>
                <w:szCs w:val="20"/>
                <w:color w:val="auto"/>
              </w:rPr>
            </w:pPr>
            <w:r>
              <w:rPr>
                <w:rFonts w:ascii="Arial" w:cs="Arial" w:eastAsia="Arial" w:hAnsi="Arial"/>
                <w:sz w:val="18"/>
                <w:szCs w:val="18"/>
                <w:color w:val="0000FF"/>
              </w:rPr>
              <w:t>Commitments and Contingencies</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9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20" w:hanging="214"/>
        <w:spacing w:after="0"/>
        <w:tabs>
          <w:tab w:leader="none" w:pos="22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Nature of Operations</w:t>
      </w:r>
    </w:p>
    <w:p>
      <w:pPr>
        <w:spacing w:after="0" w:line="114" w:lineRule="exact"/>
        <w:rPr>
          <w:sz w:val="20"/>
          <w:szCs w:val="20"/>
          <w:color w:val="auto"/>
        </w:rPr>
      </w:pPr>
    </w:p>
    <w:p>
      <w:pPr>
        <w:jc w:val="both"/>
        <w:ind w:right="200" w:firstLine="479"/>
        <w:spacing w:after="0" w:line="303" w:lineRule="auto"/>
        <w:rPr>
          <w:sz w:val="20"/>
          <w:szCs w:val="20"/>
          <w:color w:val="auto"/>
        </w:rPr>
      </w:pPr>
      <w:r>
        <w:rPr>
          <w:rFonts w:ascii="Arial" w:cs="Arial" w:eastAsia="Arial" w:hAnsi="Arial"/>
          <w:sz w:val="16"/>
          <w:szCs w:val="16"/>
          <w:color w:val="231F20"/>
        </w:rPr>
        <w:t>Viant Technology Inc. (the “Company,” “we,” “us,” “our” or “Viant”) was incorporated in the State of Delaware on October 9, 2020</w:t>
      </w:r>
      <w:r>
        <w:rPr>
          <w:rFonts w:ascii="Arial" w:cs="Arial" w:eastAsia="Arial" w:hAnsi="Arial"/>
          <w:sz w:val="16"/>
          <w:szCs w:val="16"/>
          <w:color w:val="000000"/>
        </w:rPr>
        <w:t>.</w:t>
      </w:r>
      <w:r>
        <w:rPr>
          <w:rFonts w:ascii="Arial" w:cs="Arial" w:eastAsia="Arial" w:hAnsi="Arial"/>
          <w:sz w:val="16"/>
          <w:szCs w:val="16"/>
          <w:color w:val="231F20"/>
        </w:rPr>
        <w:t xml:space="preserve"> The Company operates a demand side platform, Adelphic, that is used by marketers and their advertising agencies to centralize the planning, buying and measurement of their advertising across most channels, including desktop, mobile, connected TV, linear TV, in-game, streaming audio and digital billboards.</w:t>
      </w:r>
    </w:p>
    <w:p>
      <w:pPr>
        <w:spacing w:after="0" w:line="49" w:lineRule="exact"/>
        <w:rPr>
          <w:sz w:val="20"/>
          <w:szCs w:val="20"/>
          <w:color w:val="auto"/>
        </w:rPr>
      </w:pPr>
    </w:p>
    <w:p>
      <w:pPr>
        <w:jc w:val="both"/>
        <w:ind w:right="400" w:firstLine="479"/>
        <w:spacing w:after="0" w:line="256" w:lineRule="auto"/>
        <w:rPr>
          <w:sz w:val="20"/>
          <w:szCs w:val="20"/>
          <w:color w:val="auto"/>
        </w:rPr>
      </w:pPr>
      <w:r>
        <w:rPr>
          <w:rFonts w:ascii="Arial" w:cs="Arial" w:eastAsia="Arial" w:hAnsi="Arial"/>
          <w:sz w:val="18"/>
          <w:szCs w:val="18"/>
          <w:color w:val="231F20"/>
        </w:rPr>
        <w:t>On February 9, 2021, the Securities and Exchange Commission (“SEC”) declared effective the Company’s Form S-1 related to the initial public offering (“IPO”) of its Class A common stock. The closing date of the IPO was February 12, 2021, and in connection with the closing and the corporate reorganization (the “Reorganization Transactions”), the following actions were taken:</w:t>
      </w:r>
    </w:p>
    <w:p>
      <w:pPr>
        <w:spacing w:after="0" w:line="83" w:lineRule="exact"/>
        <w:rPr>
          <w:sz w:val="20"/>
          <w:szCs w:val="20"/>
          <w:color w:val="auto"/>
        </w:rPr>
      </w:pPr>
    </w:p>
    <w:p>
      <w:pPr>
        <w:ind w:left="1280" w:right="280" w:hanging="635"/>
        <w:spacing w:after="0" w:line="330" w:lineRule="auto"/>
        <w:tabs>
          <w:tab w:leader="none" w:pos="1280" w:val="left"/>
        </w:tabs>
        <w:numPr>
          <w:ilvl w:val="0"/>
          <w:numId w:val="4"/>
        </w:numPr>
        <w:rPr>
          <w:rFonts w:ascii="Arial" w:cs="Arial" w:eastAsia="Arial" w:hAnsi="Arial"/>
          <w:sz w:val="16"/>
          <w:szCs w:val="16"/>
          <w:color w:val="auto"/>
        </w:rPr>
      </w:pPr>
      <w:r>
        <w:rPr>
          <w:rFonts w:ascii="Arial" w:cs="Arial" w:eastAsia="Arial" w:hAnsi="Arial"/>
          <w:sz w:val="16"/>
          <w:szCs w:val="16"/>
          <w:color w:val="231F20"/>
        </w:rPr>
        <w:t>The Company amended and restated its certificate of incorporation, under which the Company is authorized to issue up to 450,000,000 shares of Class A common stock, up to 150,000,000 shares of Class B common stock, and up to 10,000,000 shares of preferred stock;</w:t>
      </w:r>
    </w:p>
    <w:p>
      <w:pPr>
        <w:spacing w:after="0" w:line="26" w:lineRule="exact"/>
        <w:rPr>
          <w:rFonts w:ascii="Arial" w:cs="Arial" w:eastAsia="Arial" w:hAnsi="Arial"/>
          <w:sz w:val="16"/>
          <w:szCs w:val="16"/>
          <w:color w:val="auto"/>
        </w:rPr>
      </w:pPr>
    </w:p>
    <w:p>
      <w:pPr>
        <w:ind w:left="1280" w:right="260" w:hanging="635"/>
        <w:spacing w:after="0" w:line="256"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limited liability company agreement of Viant Technology LLC was amended and restated (as amended and restated, the “Viant Technology LLC Agreement”) to, among other things, provide for Class A units and Class B units and appoint the Company as the sole managing member of Viant Technology LLC;</w:t>
      </w:r>
    </w:p>
    <w:p>
      <w:pPr>
        <w:spacing w:after="0" w:line="83" w:lineRule="exact"/>
        <w:rPr>
          <w:rFonts w:ascii="Arial" w:cs="Arial" w:eastAsia="Arial" w:hAnsi="Arial"/>
          <w:sz w:val="18"/>
          <w:szCs w:val="18"/>
          <w:color w:val="auto"/>
        </w:rPr>
      </w:pPr>
    </w:p>
    <w:p>
      <w:pPr>
        <w:ind w:left="1280" w:right="60" w:hanging="635"/>
        <w:spacing w:after="0" w:line="250"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Viant Technology LLC Agreement classified the interests acquired by the Company as Class A units, reclassified the interests held by the continuing members of Viant Technology LLC as Class B units, and permits the continuing members of Viant Technology LLC to exchange Class B units for shares of Class A common stock of Viant Technology Inc. on a one-for-one basis or, at the election of Viant Technology Inc., for cash at the current fair value on the date of the exchange. Immediately following such reclassification, the continuing members held 48,935,559 Class B units. For each membership unit of Viant Technology LLC that was reclassified as a Class B unit, the Company issued one corresponding share of our Class B common stock to the continuing members, or 48,935,559 shares of Class B common stock in total;</w:t>
      </w:r>
    </w:p>
    <w:p>
      <w:pPr>
        <w:spacing w:after="0" w:line="88" w:lineRule="exact"/>
        <w:rPr>
          <w:rFonts w:ascii="Arial" w:cs="Arial" w:eastAsia="Arial" w:hAnsi="Arial"/>
          <w:sz w:val="18"/>
          <w:szCs w:val="18"/>
          <w:color w:val="auto"/>
        </w:rPr>
      </w:pPr>
    </w:p>
    <w:p>
      <w:pPr>
        <w:ind w:left="1280" w:right="120" w:hanging="635"/>
        <w:spacing w:after="0" w:line="296"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issued and sold 10,000,000 shares of its Class A common stock to the underwriters at an IPO price of $25.00 per share, for gross proceeds of $250.0 million before deducting underwriting discounts and commissions of $17.5 million;</w:t>
      </w:r>
    </w:p>
    <w:p>
      <w:pPr>
        <w:spacing w:after="0" w:line="50" w:lineRule="exact"/>
        <w:rPr>
          <w:rFonts w:ascii="Arial" w:cs="Arial" w:eastAsia="Arial" w:hAnsi="Arial"/>
          <w:sz w:val="17"/>
          <w:szCs w:val="17"/>
          <w:color w:val="auto"/>
        </w:rPr>
      </w:pPr>
    </w:p>
    <w:p>
      <w:pPr>
        <w:ind w:left="1280" w:hanging="635"/>
        <w:spacing w:after="0" w:line="296"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used the net proceeds of $232.5 million to acquire 10,000,000 newly issued Class A units of Viant Technology LLC at a per-unit price equal to the per-share price paid by the underwriters for shares of our Class A common stock;</w:t>
      </w:r>
    </w:p>
    <w:p>
      <w:pPr>
        <w:spacing w:after="0" w:line="50" w:lineRule="exact"/>
        <w:rPr>
          <w:rFonts w:ascii="Arial" w:cs="Arial" w:eastAsia="Arial" w:hAnsi="Arial"/>
          <w:sz w:val="17"/>
          <w:szCs w:val="17"/>
          <w:color w:val="auto"/>
        </w:rPr>
      </w:pPr>
    </w:p>
    <w:p>
      <w:pPr>
        <w:ind w:left="1280" w:right="80" w:hanging="635"/>
        <w:spacing w:after="0" w:line="295" w:lineRule="auto"/>
        <w:tabs>
          <w:tab w:leader="none" w:pos="1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underwriters exercised their option to purchase 1,500,000 additional shares of Class A common stock from the selling stockholders in the IPO. The Company did not receive any proceeds from the sale of shares by the selling stockholders. Pursuant to such exercise, the selling stockholders exchanged the corresponding number of Class B units for the shares of Class A common stock, the corresponding number of shares of Class B common stock were automatically retired, and 1,500,000 Class A units were issued to the Company;</w:t>
      </w:r>
    </w:p>
    <w:p>
      <w:pPr>
        <w:spacing w:after="0" w:line="53" w:lineRule="exact"/>
        <w:rPr>
          <w:rFonts w:ascii="Arial" w:cs="Arial" w:eastAsia="Arial" w:hAnsi="Arial"/>
          <w:sz w:val="16"/>
          <w:szCs w:val="16"/>
          <w:color w:val="auto"/>
        </w:rPr>
      </w:pPr>
    </w:p>
    <w:p>
      <w:pPr>
        <w:ind w:left="1280" w:right="420" w:hanging="635"/>
        <w:spacing w:after="0" w:line="266" w:lineRule="auto"/>
        <w:tabs>
          <w:tab w:leader="none" w:pos="12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Class B stockholders and Class A stockholders initially had 80.5% and 19.5%, respectively, of the combined voting power of the Company’s common stock. The Class A common stock outstanding represents 100% of the</w:t>
      </w:r>
    </w:p>
    <w:p>
      <w:pPr>
        <w:sectPr>
          <w:pgSz w:w="11900" w:h="16838" w:orient="portrait"/>
          <w:cols w:equalWidth="0" w:num="1">
            <w:col w:w="11160"/>
          </w:cols>
          <w:pgMar w:left="320" w:top="121" w:right="419" w:bottom="1440" w:gutter="0" w:footer="0" w:header="0"/>
        </w:sectPr>
      </w:pPr>
    </w:p>
    <w:p>
      <w:pPr>
        <w:spacing w:after="0" w:line="393" w:lineRule="exact"/>
        <w:rPr>
          <w:sz w:val="20"/>
          <w:szCs w:val="20"/>
          <w:color w:val="auto"/>
        </w:rPr>
      </w:pPr>
    </w:p>
    <w:p>
      <w:pPr>
        <w:jc w:val="center"/>
        <w:ind w:left="46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9" w:name="page10"/>
    <w:bookmarkEnd w:id="9"/>
    <w:p>
      <w:pPr>
        <w:jc w:val="center"/>
        <w:ind w:left="46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80" w:right="120"/>
        <w:spacing w:after="0" w:line="256" w:lineRule="auto"/>
        <w:rPr>
          <w:sz w:val="20"/>
          <w:szCs w:val="20"/>
          <w:color w:val="auto"/>
        </w:rPr>
      </w:pPr>
      <w:r>
        <w:rPr>
          <w:rFonts w:ascii="Arial" w:cs="Arial" w:eastAsia="Arial" w:hAnsi="Arial"/>
          <w:sz w:val="18"/>
          <w:szCs w:val="18"/>
          <w:color w:val="auto"/>
        </w:rPr>
        <w:t>rights of the holders of all classes of the Company’s outstanding common stock to share in distributions from the Company, except for the right of Class B stockholders to receive the par value of the Class B common stock upon our liquidation, dissolution or winding up or an exchange of Class B units;</w:t>
      </w:r>
    </w:p>
    <w:p>
      <w:pPr>
        <w:spacing w:after="0" w:line="83" w:lineRule="exact"/>
        <w:rPr>
          <w:sz w:val="20"/>
          <w:szCs w:val="20"/>
          <w:color w:val="auto"/>
        </w:rPr>
      </w:pPr>
    </w:p>
    <w:p>
      <w:pPr>
        <w:ind w:left="1280" w:hanging="635"/>
        <w:spacing w:after="0" w:line="266"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The Company entered into a Registration Rights Agreement with the Class B stockholders to provide for certain rights and restrictions after the IPO; and</w:t>
      </w:r>
    </w:p>
    <w:p>
      <w:pPr>
        <w:spacing w:after="0" w:line="73" w:lineRule="exact"/>
        <w:rPr>
          <w:rFonts w:ascii="Arial" w:cs="Arial" w:eastAsia="Arial" w:hAnsi="Arial"/>
          <w:sz w:val="18"/>
          <w:szCs w:val="18"/>
          <w:color w:val="auto"/>
        </w:rPr>
      </w:pPr>
    </w:p>
    <w:p>
      <w:pPr>
        <w:ind w:left="1280" w:hanging="635"/>
        <w:spacing w:after="0" w:line="266"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Viant Technology LLC’s 2020 Equity Based Incentive Compensation Plan (the “Phantom Unit Plan”) was terminated and replaced with the Company’s 2021 Long Term Incentive Plan (the “LTIP”).</w:t>
      </w:r>
    </w:p>
    <w:p>
      <w:pPr>
        <w:spacing w:after="0" w:line="180" w:lineRule="exact"/>
        <w:rPr>
          <w:sz w:val="20"/>
          <w:szCs w:val="20"/>
          <w:color w:val="auto"/>
        </w:rPr>
      </w:pPr>
    </w:p>
    <w:p>
      <w:pPr>
        <w:ind w:right="80" w:firstLine="479"/>
        <w:spacing w:after="0" w:line="249" w:lineRule="auto"/>
        <w:rPr>
          <w:sz w:val="20"/>
          <w:szCs w:val="20"/>
          <w:color w:val="auto"/>
        </w:rPr>
      </w:pPr>
      <w:r>
        <w:rPr>
          <w:rFonts w:ascii="Arial" w:cs="Arial" w:eastAsia="Arial" w:hAnsi="Arial"/>
          <w:sz w:val="18"/>
          <w:szCs w:val="18"/>
          <w:color w:val="auto"/>
        </w:rPr>
        <w:t>Immediately following the closing of the IPO, Viant Technology LLC became the predecessor of the Company for financial reporting purposes. Viant Technology Inc. is a holding company, and its sole material asset is its equity interest in Viant Technology LLC. As the sole managing member of Viant Technology LLC, the Company operates and controls all of the business and affairs of Viant Technology LLC. The Reorganization Transactions are accounted for as a reorganization of entities under common control. As a result, the condensed consolidated financial statements of the Company recognize the assets and liabilities received in the Reorganization Transactions at their historical carrying amounts, as reflected in the historical consolidated financial statements of Viant Technology LLC. The Company consolidates Viant Technology LLC in its condensed consolidated financial statements and records a noncontrolling interest related to the Class B units held by the Class B stockholders on its condensed consolidated balance sheets and statements of operations.</w:t>
      </w:r>
    </w:p>
    <w:p>
      <w:pPr>
        <w:spacing w:after="0" w:line="310" w:lineRule="exact"/>
        <w:rPr>
          <w:sz w:val="20"/>
          <w:szCs w:val="20"/>
          <w:color w:val="auto"/>
        </w:rPr>
      </w:pPr>
    </w:p>
    <w:p>
      <w:pPr>
        <w:ind w:left="220" w:hanging="214"/>
        <w:spacing w:after="0"/>
        <w:tabs>
          <w:tab w:leader="none" w:pos="220" w:val="left"/>
        </w:tabs>
        <w:numPr>
          <w:ilvl w:val="0"/>
          <w:numId w:val="6"/>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Basis of Presentation and Summary of Significant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2" w:lineRule="exact"/>
        <w:rPr>
          <w:sz w:val="20"/>
          <w:szCs w:val="20"/>
          <w:color w:val="auto"/>
        </w:rPr>
      </w:pPr>
    </w:p>
    <w:p>
      <w:pPr>
        <w:ind w:firstLine="479"/>
        <w:spacing w:after="0" w:line="290" w:lineRule="auto"/>
        <w:rPr>
          <w:sz w:val="20"/>
          <w:szCs w:val="20"/>
          <w:color w:val="auto"/>
        </w:rPr>
      </w:pPr>
      <w:r>
        <w:rPr>
          <w:rFonts w:ascii="Arial" w:cs="Arial" w:eastAsia="Arial" w:hAnsi="Arial"/>
          <w:sz w:val="16"/>
          <w:szCs w:val="16"/>
          <w:color w:val="231F20"/>
        </w:rPr>
        <w:t xml:space="preserve">The </w:t>
      </w:r>
      <w:r>
        <w:rPr>
          <w:rFonts w:ascii="Arial" w:cs="Arial" w:eastAsia="Arial" w:hAnsi="Arial"/>
          <w:sz w:val="16"/>
          <w:szCs w:val="16"/>
          <w:color w:val="000000"/>
        </w:rPr>
        <w:t>accompanying unaudited condensed consolidated financial statements are prepared in accordance with accounting principles generally accepted in</w:t>
      </w:r>
      <w:r>
        <w:rPr>
          <w:rFonts w:ascii="Arial" w:cs="Arial" w:eastAsia="Arial" w:hAnsi="Arial"/>
          <w:sz w:val="16"/>
          <w:szCs w:val="16"/>
          <w:color w:val="231F20"/>
        </w:rPr>
        <w:t xml:space="preserve"> </w:t>
      </w:r>
      <w:r>
        <w:rPr>
          <w:rFonts w:ascii="Arial" w:cs="Arial" w:eastAsia="Arial" w:hAnsi="Arial"/>
          <w:sz w:val="16"/>
          <w:szCs w:val="16"/>
          <w:color w:val="000000"/>
        </w:rPr>
        <w:t>the United States of America (“GAAP”) for interim financial information which are unaudited and include the operations of the Company, Viant Technology LLC and its wholly owned subsidiaries. Viant Technology LLC is considered a variable interest entity. The Company is the primary beneficiary and sole managing member of Viant Technology LLC and has decision making authority that significantly affects the economic performance of the entity. As a result, the Company consolidates Viant Technology LLC. All intercompany balances and transactions have been eliminated in consolidation.</w:t>
      </w:r>
    </w:p>
    <w:p>
      <w:pPr>
        <w:spacing w:after="0" w:line="60" w:lineRule="exact"/>
        <w:rPr>
          <w:sz w:val="20"/>
          <w:szCs w:val="20"/>
          <w:color w:val="auto"/>
        </w:rPr>
      </w:pPr>
    </w:p>
    <w:p>
      <w:pPr>
        <w:ind w:firstLine="479"/>
        <w:spacing w:after="0" w:line="288" w:lineRule="auto"/>
        <w:rPr>
          <w:sz w:val="20"/>
          <w:szCs w:val="20"/>
          <w:color w:val="auto"/>
        </w:rPr>
      </w:pPr>
      <w:r>
        <w:rPr>
          <w:rFonts w:ascii="Arial" w:cs="Arial" w:eastAsia="Arial" w:hAnsi="Arial"/>
          <w:sz w:val="16"/>
          <w:szCs w:val="16"/>
          <w:color w:val="231F20"/>
        </w:rPr>
        <w:t xml:space="preserve">Management </w:t>
      </w:r>
      <w:r>
        <w:rPr>
          <w:rFonts w:ascii="Arial" w:cs="Arial" w:eastAsia="Arial" w:hAnsi="Arial"/>
          <w:sz w:val="16"/>
          <w:szCs w:val="16"/>
          <w:color w:val="000000"/>
        </w:rPr>
        <w:t>believes that the accompanying condensed consolidated financial statements reflect the adjustments necessary for the fair statement of its</w:t>
      </w:r>
      <w:r>
        <w:rPr>
          <w:rFonts w:ascii="Arial" w:cs="Arial" w:eastAsia="Arial" w:hAnsi="Arial"/>
          <w:sz w:val="16"/>
          <w:szCs w:val="16"/>
          <w:color w:val="231F20"/>
        </w:rPr>
        <w:t xml:space="preserve"> </w:t>
      </w:r>
      <w:r>
        <w:rPr>
          <w:rFonts w:ascii="Arial" w:cs="Arial" w:eastAsia="Arial" w:hAnsi="Arial"/>
          <w:sz w:val="16"/>
          <w:szCs w:val="16"/>
          <w:color w:val="000000"/>
        </w:rPr>
        <w:t>condensed consolidated balance sheets, statements of operations, and cash flows included in this report. The condensed consolidated balance sheet as of December 31, 2022 was derived from the audited annual financial statements but does not contain all of the footnote disclosures from the annual financial statements. Certain information and disclosures normally included in the Company's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2022.</w:t>
      </w:r>
    </w:p>
    <w:p>
      <w:pPr>
        <w:spacing w:after="0" w:line="60" w:lineRule="exact"/>
        <w:rPr>
          <w:sz w:val="20"/>
          <w:szCs w:val="20"/>
          <w:color w:val="auto"/>
        </w:rPr>
      </w:pPr>
    </w:p>
    <w:p>
      <w:pPr>
        <w:ind w:right="160" w:firstLine="479"/>
        <w:spacing w:after="0" w:line="296" w:lineRule="auto"/>
        <w:rPr>
          <w:sz w:val="20"/>
          <w:szCs w:val="20"/>
          <w:color w:val="auto"/>
        </w:rPr>
      </w:pPr>
      <w:r>
        <w:rPr>
          <w:rFonts w:ascii="Arial" w:cs="Arial" w:eastAsia="Arial" w:hAnsi="Arial"/>
          <w:sz w:val="17"/>
          <w:szCs w:val="17"/>
          <w:color w:val="auto"/>
        </w:rPr>
        <w:t>The condensed consolidated statements of operations for the three and six months ended June 30, 2023 are not necessarily indicative of the results to be expected for the year ending December 31, 2023 (“fiscal 2023”), or for any other future annual or interim period.</w:t>
      </w:r>
    </w:p>
    <w:p>
      <w:pPr>
        <w:spacing w:after="0" w:line="50" w:lineRule="exact"/>
        <w:rPr>
          <w:sz w:val="20"/>
          <w:szCs w:val="20"/>
          <w:color w:val="auto"/>
        </w:rPr>
      </w:pPr>
    </w:p>
    <w:p>
      <w:pPr>
        <w:ind w:right="220" w:firstLine="479"/>
        <w:spacing w:after="0" w:line="266" w:lineRule="auto"/>
        <w:rPr>
          <w:sz w:val="20"/>
          <w:szCs w:val="20"/>
          <w:color w:val="auto"/>
        </w:rPr>
      </w:pPr>
      <w:r>
        <w:rPr>
          <w:rFonts w:ascii="Arial" w:cs="Arial" w:eastAsia="Arial" w:hAnsi="Arial"/>
          <w:sz w:val="18"/>
          <w:szCs w:val="18"/>
          <w:color w:val="auto"/>
        </w:rPr>
        <w:t>There have been no material changes to the significant accounting policies as described in the Company's Annual Report on Form 10-K for the year 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2" w:lineRule="exact"/>
        <w:rPr>
          <w:sz w:val="20"/>
          <w:szCs w:val="20"/>
          <w:color w:val="auto"/>
        </w:rPr>
      </w:pPr>
    </w:p>
    <w:p>
      <w:pPr>
        <w:ind w:firstLine="479"/>
        <w:spacing w:after="0" w:line="285" w:lineRule="auto"/>
        <w:rPr>
          <w:sz w:val="20"/>
          <w:szCs w:val="20"/>
          <w:color w:val="auto"/>
        </w:rPr>
      </w:pPr>
      <w:r>
        <w:rPr>
          <w:rFonts w:ascii="Arial" w:cs="Arial" w:eastAsia="Arial" w:hAnsi="Arial"/>
          <w:sz w:val="16"/>
          <w:szCs w:val="16"/>
          <w:color w:val="231F20"/>
        </w:rPr>
        <w:t xml:space="preserve">The preparation of our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 </w:t>
      </w:r>
      <w:r>
        <w:rPr>
          <w:rFonts w:ascii="Arial" w:cs="Arial" w:eastAsia="Arial" w:hAnsi="Arial"/>
          <w:sz w:val="16"/>
          <w:szCs w:val="16"/>
          <w:color w:val="000000"/>
        </w:rPr>
        <w:t>On an ongoing basis, management evaluates</w:t>
      </w:r>
      <w:r>
        <w:rPr>
          <w:rFonts w:ascii="Arial" w:cs="Arial" w:eastAsia="Arial" w:hAnsi="Arial"/>
          <w:sz w:val="16"/>
          <w:szCs w:val="16"/>
          <w:color w:val="231F20"/>
        </w:rPr>
        <w:t xml:space="preserve"> </w:t>
      </w:r>
      <w:r>
        <w:rPr>
          <w:rFonts w:ascii="Arial" w:cs="Arial" w:eastAsia="Arial" w:hAnsi="Arial"/>
          <w:sz w:val="16"/>
          <w:szCs w:val="16"/>
          <w:color w:val="000000"/>
        </w:rPr>
        <w:t>its estimates, primarily those related to revenue recognition, stock-based compensation, income taxes, allowances for doubtful accounts, the useful lives of capitalized software development costs and other property, equipment and software and assumptions used in the impairment analyses of long-lived assets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63" w:lineRule="exact"/>
        <w:rPr>
          <w:sz w:val="20"/>
          <w:szCs w:val="20"/>
          <w:color w:val="auto"/>
        </w:rPr>
      </w:pPr>
    </w:p>
    <w:p>
      <w:pPr>
        <w:ind w:firstLine="479"/>
        <w:spacing w:after="0" w:line="253" w:lineRule="auto"/>
        <w:rPr>
          <w:sz w:val="20"/>
          <w:szCs w:val="20"/>
          <w:color w:val="auto"/>
        </w:rPr>
      </w:pPr>
      <w:r>
        <w:rPr>
          <w:rFonts w:ascii="Arial" w:cs="Arial" w:eastAsia="Arial" w:hAnsi="Arial"/>
          <w:sz w:val="18"/>
          <w:szCs w:val="18"/>
          <w:color w:val="auto"/>
        </w:rPr>
        <w:t>The impact of widespread macroeconomic and geopolitical uncertainties, including the impact of pandemics, bank failures, labor shortages, inflation and monetary supply shifts, rising interest rates, tightening of credit markets, recession risks, and potential disruptions from the Russia-Ukraine conflict on our business continues to evolve. Many of our estimates and assumptions consider these macroeconomic and geopolitical factors in the market, which require increased judgment and carry a higher degree of variability</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0" w:name="page11"/>
    <w:bookmarkEnd w:id="10"/>
    <w:p>
      <w:pPr>
        <w:jc w:val="center"/>
        <w:ind w:left="46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and volatility. As events continue to evolve and additional information becomes available on the potential impact on our business of global economic and business events, our estimates may change materially in future periods as a result.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the periods presented, net loss is equal to comprehensive loss.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2" w:lineRule="exact"/>
        <w:rPr>
          <w:sz w:val="20"/>
          <w:szCs w:val="20"/>
          <w:color w:val="auto"/>
        </w:rPr>
      </w:pPr>
    </w:p>
    <w:p>
      <w:pPr>
        <w:ind w:right="40" w:firstLine="479"/>
        <w:spacing w:after="0" w:line="273" w:lineRule="auto"/>
        <w:rPr>
          <w:sz w:val="20"/>
          <w:szCs w:val="20"/>
          <w:color w:val="auto"/>
        </w:rPr>
      </w:pPr>
      <w:r>
        <w:rPr>
          <w:rFonts w:ascii="Arial" w:cs="Arial" w:eastAsia="Arial" w:hAnsi="Arial"/>
          <w:sz w:val="17"/>
          <w:szCs w:val="17"/>
          <w:color w:val="auto"/>
        </w:rPr>
        <w:t>For purposes of balance sheet presentation and reporting of cash flows, the Company considers all highly liquid investments purchased with a maturity of three months or less to be cash equivalents. Cash and cash equivalents are comprised of cash in bank accounts and money market funds for which the carrying value approximates fair value due to their short-term nature. Cash equivalents are valued based on Level 1 inputs which consist of quoted prices in active markets. As of June 30, 2023, cash equivalents includes money market funds of $183.1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of Allowances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changes in the allowance for doubtful accounts for the three and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6106795</wp:posOffset>
            </wp:positionH>
            <wp:positionV relativeFrom="paragraph">
              <wp:posOffset>95885</wp:posOffset>
            </wp:positionV>
            <wp:extent cx="8877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7730" cy="8255"/>
                    </a:xfrm>
                    <a:prstGeom prst="rect">
                      <a:avLst/>
                    </a:prstGeom>
                    <a:noFill/>
                  </pic:spPr>
                </pic:pic>
              </a:graphicData>
            </a:graphic>
          </wp:anchor>
        </w:drawing>
      </w:r>
    </w:p>
    <w:p>
      <w:pPr>
        <w:spacing w:after="0" w:line="144" w:lineRule="exact"/>
        <w:rPr>
          <w:sz w:val="20"/>
          <w:szCs w:val="20"/>
          <w:color w:val="auto"/>
        </w:rPr>
      </w:pPr>
    </w:p>
    <w:p>
      <w:pPr>
        <w:ind w:left="984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19050</wp:posOffset>
            </wp:positionV>
            <wp:extent cx="6542405" cy="152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42405" cy="152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Balance as of December 31, 2022</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Cumulative impact of accounting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34925</wp:posOffset>
            </wp:positionV>
            <wp:extent cx="6542405" cy="143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42405" cy="143510"/>
                    </a:xfrm>
                    <a:prstGeom prst="rect">
                      <a:avLst/>
                    </a:prstGeom>
                    <a:noFill/>
                  </pic:spPr>
                </pic:pic>
              </a:graphicData>
            </a:graphic>
          </wp:anchor>
        </w:drawing>
      </w:r>
    </w:p>
    <w:p>
      <w:pPr>
        <w:spacing w:after="0" w:line="3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Provision for doubtful accounts</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Write-offs,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20320</wp:posOffset>
            </wp:positionV>
            <wp:extent cx="6542405" cy="152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42405" cy="152400"/>
                    </a:xfrm>
                    <a:prstGeom prst="rect">
                      <a:avLst/>
                    </a:prstGeom>
                    <a:noFill/>
                  </pic:spPr>
                </pic:pic>
              </a:graphicData>
            </a:graphic>
          </wp:anchor>
        </w:drawing>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Balance as of March 31, 2023</w:t>
      </w:r>
    </w:p>
    <w:p>
      <w:pPr>
        <w:spacing w:after="0" w:line="3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11430</wp:posOffset>
            </wp:positionV>
            <wp:extent cx="6542405" cy="152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42405" cy="15240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Write-offs, net of recoveries</w:t>
      </w:r>
    </w:p>
    <w:p>
      <w:pPr>
        <w:spacing w:after="0" w:line="5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Balance as of June 30, 2023</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900" w:hanging="900"/>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1,015</w:t>
      </w:r>
    </w:p>
    <w:p>
      <w:pPr>
        <w:spacing w:after="0" w:line="30"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7"/>
          <w:szCs w:val="17"/>
          <w:color w:val="auto"/>
        </w:rPr>
        <w:t>209</w:t>
      </w:r>
    </w:p>
    <w:p>
      <w:pPr>
        <w:spacing w:after="0" w:line="44"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8"/>
          <w:szCs w:val="18"/>
          <w:color w:val="auto"/>
        </w:rPr>
        <w:t>22</w:t>
      </w:r>
    </w:p>
    <w:p>
      <w:pPr>
        <w:spacing w:after="0" w:line="19"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8877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7730" cy="8255"/>
                    </a:xfrm>
                    <a:prstGeom prst="rect">
                      <a:avLst/>
                    </a:prstGeom>
                    <a:noFill/>
                  </pic:spPr>
                </pic:pic>
              </a:graphicData>
            </a:graphic>
          </wp:anchor>
        </w:drawing>
      </w:r>
    </w:p>
    <w:p>
      <w:pPr>
        <w:spacing w:after="0" w:line="36" w:lineRule="exact"/>
        <w:rPr>
          <w:sz w:val="20"/>
          <w:szCs w:val="20"/>
          <w:color w:val="auto"/>
        </w:rPr>
      </w:pPr>
    </w:p>
    <w:p>
      <w:pPr>
        <w:ind w:left="900" w:hanging="900"/>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1,162</w:t>
      </w:r>
    </w:p>
    <w:p>
      <w:pPr>
        <w:spacing w:after="0" w:line="44"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8"/>
          <w:szCs w:val="18"/>
          <w:color w:val="auto"/>
        </w:rPr>
        <w:t>27</w:t>
      </w:r>
    </w:p>
    <w:p>
      <w:pPr>
        <w:spacing w:after="0" w:line="19"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(54)</w:t>
      </w:r>
    </w:p>
    <w:p>
      <w:pPr>
        <w:spacing w:after="0" w:line="33" w:lineRule="exact"/>
        <w:rPr>
          <w:sz w:val="20"/>
          <w:szCs w:val="20"/>
          <w:color w:val="auto"/>
        </w:rPr>
      </w:pPr>
    </w:p>
    <w:p>
      <w:pPr>
        <w:ind w:left="900" w:hanging="900"/>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1,135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8877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773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8877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7730" cy="8255"/>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8920" w:space="720"/>
            <w:col w:w="1600"/>
          </w:cols>
          <w:pgMar w:left="320" w:top="121" w:right="339" w:bottom="1440" w:gutter="0" w:footer="0" w:header="0"/>
          <w:type w:val="continuous"/>
        </w:sectPr>
      </w:pPr>
    </w:p>
    <w:p>
      <w:pPr>
        <w:ind w:right="140" w:firstLine="479"/>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 of risk consist principally of cash and accounts receivable. The Company maintains its cash with financial institutions and its cash levels exceed the Federal Deposit Insurance Corporation’s federally insured limits. Accounts receivable include amounts due from customers with principal operations primarily in the United States.</w:t>
      </w:r>
    </w:p>
    <w:p>
      <w:pPr>
        <w:spacing w:after="0" w:line="64" w:lineRule="exact"/>
        <w:rPr>
          <w:sz w:val="20"/>
          <w:szCs w:val="20"/>
          <w:color w:val="auto"/>
        </w:rPr>
      </w:pPr>
    </w:p>
    <w:p>
      <w:pPr>
        <w:ind w:right="380" w:firstLine="479"/>
        <w:spacing w:after="0" w:line="266" w:lineRule="auto"/>
        <w:rPr>
          <w:sz w:val="20"/>
          <w:szCs w:val="20"/>
          <w:color w:val="auto"/>
        </w:rPr>
      </w:pPr>
      <w:r>
        <w:rPr>
          <w:rFonts w:ascii="Arial" w:cs="Arial" w:eastAsia="Arial" w:hAnsi="Arial"/>
          <w:sz w:val="18"/>
          <w:szCs w:val="18"/>
          <w:color w:val="auto"/>
        </w:rPr>
        <w:t>As of June 30, 2023, two individual customers accounted for 11.8% and 10.1% of consolidated accounts receivable. As of December 31, 2022, no individual customers accounted for 10.0% or greater of consolidated accounts receivable.</w:t>
      </w:r>
    </w:p>
    <w:p>
      <w:pPr>
        <w:spacing w:after="0" w:line="74" w:lineRule="exact"/>
        <w:rPr>
          <w:sz w:val="20"/>
          <w:szCs w:val="20"/>
          <w:color w:val="auto"/>
        </w:rPr>
      </w:pPr>
    </w:p>
    <w:p>
      <w:pPr>
        <w:ind w:right="740" w:firstLine="479"/>
        <w:spacing w:after="0" w:line="266" w:lineRule="auto"/>
        <w:rPr>
          <w:sz w:val="20"/>
          <w:szCs w:val="20"/>
          <w:color w:val="auto"/>
        </w:rPr>
      </w:pPr>
      <w:r>
        <w:rPr>
          <w:rFonts w:ascii="Arial" w:cs="Arial" w:eastAsia="Arial" w:hAnsi="Arial"/>
          <w:sz w:val="18"/>
          <w:szCs w:val="18"/>
          <w:color w:val="auto"/>
        </w:rPr>
        <w:t>As of June 30, 2023, two individual suppliers accounted for 12.8% and 12.2% of consolidated accounts payable and accrued liabilities. As of December 31, 2022, one supplier accounted for 24.6% of consolidated accounts payable and accrued liabilities.</w:t>
      </w:r>
    </w:p>
    <w:p>
      <w:pPr>
        <w:spacing w:after="0" w:line="74" w:lineRule="exact"/>
        <w:rPr>
          <w:sz w:val="20"/>
          <w:szCs w:val="20"/>
          <w:color w:val="auto"/>
        </w:rPr>
      </w:pPr>
    </w:p>
    <w:p>
      <w:pPr>
        <w:ind w:right="40" w:firstLine="479"/>
        <w:spacing w:after="0" w:line="321" w:lineRule="auto"/>
        <w:rPr>
          <w:sz w:val="20"/>
          <w:szCs w:val="20"/>
          <w:color w:val="auto"/>
        </w:rPr>
      </w:pPr>
      <w:r>
        <w:rPr>
          <w:rFonts w:ascii="Arial" w:cs="Arial" w:eastAsia="Arial" w:hAnsi="Arial"/>
          <w:sz w:val="14"/>
          <w:szCs w:val="14"/>
          <w:color w:val="auto"/>
        </w:rPr>
        <w:t>For the three and six months ended June 30, 2023, there were no advertising agency holding companies that accounted for 10.0% or more of the Company’s total revenue. For the three and six months ended June 30, 2022, one advertising agency holding company accounted for 12.7% and 10.5% of the Company's total revenue, respectively. For the three and six months ended June 30, 2023, there was one individual customer that accounted for 18.4% and 12.2% of the Company’s total revenue, respectively. For the three and six months ended June 30, 2022, there were no individual customers that accounted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10.0% or more of the Company’s total revenue.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Election as an Emerging Growth Company</w:t>
      </w:r>
    </w:p>
    <w:p>
      <w:pPr>
        <w:spacing w:after="0" w:line="112" w:lineRule="exact"/>
        <w:rPr>
          <w:sz w:val="20"/>
          <w:szCs w:val="20"/>
          <w:color w:val="auto"/>
        </w:rPr>
      </w:pPr>
    </w:p>
    <w:p>
      <w:pPr>
        <w:ind w:right="60" w:firstLine="479"/>
        <w:spacing w:after="0" w:line="285" w:lineRule="auto"/>
        <w:rPr>
          <w:sz w:val="20"/>
          <w:szCs w:val="20"/>
          <w:color w:val="auto"/>
        </w:rPr>
      </w:pPr>
      <w:r>
        <w:rPr>
          <w:rFonts w:ascii="Arial" w:cs="Arial" w:eastAsia="Arial" w:hAnsi="Arial"/>
          <w:sz w:val="16"/>
          <w:szCs w:val="16"/>
          <w:color w:val="auto"/>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Arial" w:cs="Arial" w:eastAsia="Arial" w:hAnsi="Arial"/>
          <w:sz w:val="16"/>
          <w:szCs w:val="16"/>
          <w:color w:val="231F20"/>
        </w:rPr>
        <w:t>Company</w:t>
      </w:r>
      <w:r>
        <w:rPr>
          <w:rFonts w:ascii="Arial" w:cs="Arial" w:eastAsia="Arial" w:hAnsi="Arial"/>
          <w:sz w:val="16"/>
          <w:szCs w:val="16"/>
          <w:color w:val="auto"/>
        </w:rPr>
        <w:t xml:space="preserve"> may, under Section 7(a)(2)</w:t>
      </w:r>
    </w:p>
    <w:p>
      <w:pPr>
        <w:ind w:firstLine="6"/>
        <w:spacing w:after="0" w:line="248" w:lineRule="auto"/>
        <w:tabs>
          <w:tab w:leader="none" w:pos="2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 the Securities Act, delay adoption of new or revised accounting standards applicable to public companies until such standards would otherwise apply to private companies. An “emerging growth company” is one with less than $1.235 billion in annual gross revenues, has less than $700 million in market value of its shares of common stock held by non-affiliates and issues less than $1 billion of non-convertible debt over a three-year period. The Company may take advantage of this extended transition period until the first to occur of the date that it (i) is no longer an “emerging growth company” or (ii) affirmatively and irrevocably opts out of this extended transition period.</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left="4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ind w:left="46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40" w:firstLine="479"/>
        <w:spacing w:after="0" w:line="273" w:lineRule="auto"/>
        <w:rPr>
          <w:sz w:val="20"/>
          <w:szCs w:val="20"/>
          <w:color w:val="auto"/>
        </w:rPr>
      </w:pPr>
      <w:r>
        <w:rPr>
          <w:rFonts w:ascii="Arial" w:cs="Arial" w:eastAsia="Arial" w:hAnsi="Arial"/>
          <w:sz w:val="17"/>
          <w:szCs w:val="17"/>
          <w:color w:val="auto"/>
        </w:rPr>
        <w:t>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condensed consolidated financial statements and that has a different effective date for public and private companies, the Company will disclose the date on which it will adopt the recently issued accounting standard.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Instruments—Credit Losses</w:t>
      </w:r>
    </w:p>
    <w:p>
      <w:pPr>
        <w:spacing w:after="0" w:line="112" w:lineRule="exact"/>
        <w:rPr>
          <w:sz w:val="20"/>
          <w:szCs w:val="20"/>
          <w:color w:val="auto"/>
        </w:rPr>
      </w:pPr>
    </w:p>
    <w:p>
      <w:pPr>
        <w:ind w:right="120" w:firstLine="479"/>
        <w:spacing w:after="0" w:line="286" w:lineRule="auto"/>
        <w:rPr>
          <w:sz w:val="20"/>
          <w:szCs w:val="20"/>
          <w:color w:val="auto"/>
        </w:rPr>
      </w:pPr>
      <w:r>
        <w:rPr>
          <w:rFonts w:ascii="Arial" w:cs="Arial" w:eastAsia="Arial" w:hAnsi="Arial"/>
          <w:sz w:val="16"/>
          <w:szCs w:val="16"/>
          <w:color w:val="auto"/>
        </w:rPr>
        <w:t xml:space="preserve">In June 2016, the Financial Accounting Standards Board issued Accounting Standards Update ("ASU") No. 2016-13, </w:t>
      </w:r>
      <w:r>
        <w:rPr>
          <w:rFonts w:ascii="Arial" w:cs="Arial" w:eastAsia="Arial" w:hAnsi="Arial"/>
          <w:sz w:val="16"/>
          <w:szCs w:val="16"/>
          <w:i w:val="1"/>
          <w:iCs w:val="1"/>
          <w:color w:val="auto"/>
        </w:rPr>
        <w:t>Financial Instruments—Credit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w:t>
      </w:r>
      <w:r>
        <w:rPr>
          <w:rFonts w:ascii="Arial" w:cs="Arial" w:eastAsia="Arial" w:hAnsi="Arial"/>
          <w:sz w:val="16"/>
          <w:szCs w:val="16"/>
          <w:color w:val="auto"/>
        </w:rPr>
        <w:t>. ASU 2016-13 revises the impairment model to utilize an expected loss methodology in place of the currently used incurred loss</w:t>
      </w:r>
      <w:r>
        <w:rPr>
          <w:rFonts w:ascii="Arial" w:cs="Arial" w:eastAsia="Arial" w:hAnsi="Arial"/>
          <w:sz w:val="16"/>
          <w:szCs w:val="16"/>
          <w:i w:val="1"/>
          <w:iCs w:val="1"/>
          <w:color w:val="auto"/>
        </w:rPr>
        <w:t xml:space="preserve"> </w:t>
      </w:r>
      <w:r>
        <w:rPr>
          <w:rFonts w:ascii="Arial" w:cs="Arial" w:eastAsia="Arial" w:hAnsi="Arial"/>
          <w:sz w:val="16"/>
          <w:szCs w:val="16"/>
          <w:color w:val="auto"/>
        </w:rPr>
        <w:t>methodology, which results in more timely recognition of losses on financial instruments. We adopted this standard at the beginning of fiscal 2023. As a result, we revised the impairment model to utilize an expected loss methodology in place of an incurred loss methodology related to our allowance for credit losses on our trade accounts receivable. We evaluate our allowance for credit losses based on historical bad debt experience, our assessment of the financial condition of companies with which we do business, current macroeconomic conditions, and reasonable and supportable forecasts of future macroeconomic conditions. The adoption did not have a material impact on the Company's condensed consolidated financial statements.</w:t>
      </w:r>
    </w:p>
    <w:p>
      <w:pPr>
        <w:spacing w:after="0" w:line="280" w:lineRule="exact"/>
        <w:rPr>
          <w:sz w:val="20"/>
          <w:szCs w:val="20"/>
          <w:color w:val="auto"/>
        </w:rPr>
      </w:pPr>
    </w:p>
    <w:p>
      <w:pPr>
        <w:ind w:left="220" w:hanging="214"/>
        <w:spacing w:after="0"/>
        <w:tabs>
          <w:tab w:leader="none" w:pos="220" w:val="left"/>
        </w:tabs>
        <w:numPr>
          <w:ilvl w:val="0"/>
          <w:numId w:val="11"/>
        </w:numPr>
        <w:rPr>
          <w:rFonts w:ascii="Arial" w:cs="Arial" w:eastAsia="Arial" w:hAnsi="Arial"/>
          <w:sz w:val="21"/>
          <w:szCs w:val="21"/>
          <w:b w:val="1"/>
          <w:bCs w:val="1"/>
          <w:color w:val="231F20"/>
        </w:rPr>
      </w:pPr>
      <w:r>
        <w:rPr>
          <w:rFonts w:ascii="Arial" w:cs="Arial" w:eastAsia="Arial" w:hAnsi="Arial"/>
          <w:sz w:val="21"/>
          <w:szCs w:val="21"/>
          <w:b w:val="1"/>
          <w:bCs w:val="1"/>
          <w:i w:val="1"/>
          <w:iCs w:val="1"/>
          <w:color w:val="231F20"/>
        </w:rPr>
        <w:t>Revenue</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The disaggregation of revenue was as follows:</w:t>
      </w:r>
    </w:p>
    <w:p>
      <w:pPr>
        <w:spacing w:after="0" w:line="23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Arial" w:cs="Arial" w:eastAsia="Arial" w:hAnsi="Arial"/>
                <w:sz w:val="18"/>
                <w:szCs w:val="18"/>
                <w:b w:val="1"/>
                <w:bCs w:val="1"/>
                <w:color w:val="auto"/>
              </w:rPr>
              <w:t>Six Months Ended</w:t>
            </w:r>
          </w:p>
        </w:tc>
      </w:tr>
      <w:tr>
        <w:trPr>
          <w:trHeight w:val="231"/>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0"/>
        </w:trPr>
        <w:tc>
          <w:tcPr>
            <w:tcW w:w="4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r>
      <w:tr>
        <w:trPr>
          <w:trHeight w:val="23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Over-time revenue</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26"/>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Point-in-time revenue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93,468</w:t>
            </w:r>
          </w:p>
        </w:tc>
      </w:tr>
      <w:tr>
        <w:trPr>
          <w:trHeight w:val="24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firstLine="479"/>
        <w:spacing w:after="0" w:line="256" w:lineRule="auto"/>
        <w:rPr>
          <w:sz w:val="20"/>
          <w:szCs w:val="20"/>
          <w:color w:val="auto"/>
        </w:rPr>
      </w:pPr>
      <w:r>
        <w:rPr>
          <w:rFonts w:ascii="Arial" w:cs="Arial" w:eastAsia="Arial" w:hAnsi="Arial"/>
          <w:sz w:val="18"/>
          <w:szCs w:val="18"/>
          <w:color w:val="231F20"/>
        </w:rPr>
        <w:t>Revenue for unsatisfied performance obligations expected to be recognized in the future for contracts with an original expected duration of greater than one year was $0.2 million as of June 30, 2023 and $0.1 million as of December 31, 2022. These amounts do not include contracts with an original expected duration of less than one year, which is the majority of the Company’s contracts.</w:t>
      </w:r>
    </w:p>
    <w:p>
      <w:pPr>
        <w:spacing w:after="0" w:line="83" w:lineRule="exact"/>
        <w:rPr>
          <w:sz w:val="20"/>
          <w:szCs w:val="20"/>
          <w:color w:val="auto"/>
        </w:rPr>
      </w:pPr>
    </w:p>
    <w:p>
      <w:pPr>
        <w:ind w:right="540" w:firstLine="479"/>
        <w:spacing w:after="0" w:line="266" w:lineRule="auto"/>
        <w:rPr>
          <w:sz w:val="20"/>
          <w:szCs w:val="20"/>
          <w:color w:val="auto"/>
        </w:rPr>
      </w:pPr>
      <w:r>
        <w:rPr>
          <w:rFonts w:ascii="Arial" w:cs="Arial" w:eastAsia="Arial" w:hAnsi="Arial"/>
          <w:sz w:val="18"/>
          <w:szCs w:val="18"/>
          <w:color w:val="231F20"/>
        </w:rPr>
        <w:t xml:space="preserve">Remaining deferred revenue that is anticipated to be recognized during the succeeding twelve month period is recorded in the current portion of </w:t>
      </w:r>
      <w:r>
        <w:rPr>
          <w:rFonts w:ascii="Arial" w:cs="Arial" w:eastAsia="Arial" w:hAnsi="Arial"/>
          <w:sz w:val="18"/>
          <w:szCs w:val="18"/>
          <w:color w:val="000000"/>
        </w:rPr>
        <w:t xml:space="preserve">deferred </w:t>
      </w:r>
      <w:r>
        <w:rPr>
          <w:rFonts w:ascii="Arial" w:cs="Arial" w:eastAsia="Arial" w:hAnsi="Arial"/>
          <w:sz w:val="18"/>
          <w:szCs w:val="18"/>
          <w:color w:val="231F20"/>
        </w:rPr>
        <w:t>revenue within the condensed consolidated balance sheets.</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 xml:space="preserve">4. </w:t>
      </w:r>
      <w:r>
        <w:rPr>
          <w:rFonts w:ascii="Arial" w:cs="Arial" w:eastAsia="Arial" w:hAnsi="Arial"/>
          <w:sz w:val="21"/>
          <w:szCs w:val="21"/>
          <w:b w:val="1"/>
          <w:bCs w:val="1"/>
          <w:i w:val="1"/>
          <w:iCs w:val="1"/>
          <w:color w:val="231F20"/>
        </w:rPr>
        <w:t>Property, Equipment, and Software, Net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60" w:type="dxa"/>
            <w:vAlign w:val="bottom"/>
            <w:gridSpan w:val="2"/>
          </w:tcPr>
          <w:p>
            <w:pPr>
              <w:ind w:left="480"/>
              <w:spacing w:after="0"/>
              <w:rPr>
                <w:sz w:val="20"/>
                <w:szCs w:val="20"/>
                <w:color w:val="auto"/>
              </w:rPr>
            </w:pPr>
            <w:r>
              <w:rPr>
                <w:rFonts w:ascii="Arial" w:cs="Arial" w:eastAsia="Arial" w:hAnsi="Arial"/>
                <w:sz w:val="18"/>
                <w:szCs w:val="18"/>
                <w:color w:val="231F20"/>
                <w:w w:val="93"/>
              </w:rPr>
              <w:t xml:space="preserve">Major </w:t>
            </w:r>
            <w:r>
              <w:rPr>
                <w:rFonts w:ascii="Arial" w:cs="Arial" w:eastAsia="Arial" w:hAnsi="Arial"/>
                <w:sz w:val="18"/>
                <w:szCs w:val="18"/>
                <w:color w:val="000000"/>
                <w:w w:val="93"/>
              </w:rPr>
              <w:t>classes</w:t>
            </w:r>
            <w:r>
              <w:rPr>
                <w:rFonts w:ascii="Arial" w:cs="Arial" w:eastAsia="Arial" w:hAnsi="Arial"/>
                <w:sz w:val="18"/>
                <w:szCs w:val="18"/>
                <w:color w:val="231F20"/>
                <w:w w:val="93"/>
              </w:rPr>
              <w:t xml:space="preserve"> of property, equipment, and software were as follows:</w:t>
            </w: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7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Pr>
          <w:p>
            <w:pPr>
              <w:spacing w:after="0"/>
              <w:rPr>
                <w:sz w:val="24"/>
                <w:szCs w:val="24"/>
                <w:color w:val="auto"/>
              </w:rPr>
            </w:pPr>
          </w:p>
        </w:tc>
        <w:tc>
          <w:tcPr>
            <w:tcW w:w="1600" w:type="dxa"/>
            <w:vAlign w:val="bottom"/>
            <w:gridSpan w:val="3"/>
          </w:tcPr>
          <w:p>
            <w:pPr>
              <w:ind w:left="80"/>
              <w:spacing w:after="0"/>
              <w:rPr>
                <w:sz w:val="20"/>
                <w:szCs w:val="20"/>
                <w:color w:val="auto"/>
              </w:rPr>
            </w:pPr>
            <w:r>
              <w:rPr>
                <w:rFonts w:ascii="Arial" w:cs="Arial" w:eastAsia="Arial" w:hAnsi="Arial"/>
                <w:sz w:val="18"/>
                <w:szCs w:val="18"/>
                <w:b w:val="1"/>
                <w:bCs w:val="1"/>
                <w:color w:val="auto"/>
              </w:rPr>
              <w:t>As of December</w:t>
            </w: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84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81,828</w:t>
            </w:r>
          </w:p>
        </w:tc>
        <w:tc>
          <w:tcPr>
            <w:tcW w:w="40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software</w:t>
            </w:r>
          </w:p>
        </w:tc>
        <w:tc>
          <w:tcPr>
            <w:tcW w:w="2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6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Total property, equipment and software</w:t>
            </w: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77,933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2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25,829</w:t>
            </w:r>
          </w:p>
        </w:tc>
        <w:tc>
          <w:tcPr>
            <w:tcW w:w="40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23,106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0" w:type="dxa"/>
            <w:vAlign w:val="bottom"/>
            <w:vMerge w:val="restart"/>
          </w:tcPr>
          <w:p>
            <w:pPr>
              <w:jc w:val="right"/>
              <w:ind w:right="2111"/>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1"/>
        </w:trPr>
        <w:tc>
          <w:tcPr>
            <w:tcW w:w="7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20" w:type="dxa"/>
            <w:vAlign w:val="bottom"/>
            <w:tcBorders>
              <w:bottom w:val="single" w:sz="8" w:color="9A9A9A"/>
            </w:tcBorders>
          </w:tcPr>
          <w:p>
            <w:pPr>
              <w:spacing w:after="0"/>
              <w:rPr>
                <w:sz w:val="9"/>
                <w:szCs w:val="9"/>
                <w:color w:val="auto"/>
              </w:rPr>
            </w:pPr>
          </w:p>
        </w:tc>
        <w:tc>
          <w:tcPr>
            <w:tcW w:w="484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left="46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Depreciation recorded in the condensed consolidated statements of operations was as follows:</w:t>
      </w:r>
    </w:p>
    <w:p>
      <w:pPr>
        <w:spacing w:after="0" w:line="118"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320" w:type="dxa"/>
            <w:vAlign w:val="bottom"/>
            <w:gridSpan w:val="4"/>
          </w:tcPr>
          <w:p>
            <w:pPr>
              <w:jc w:val="right"/>
              <w:ind w:right="11"/>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gridSpan w:val="4"/>
          </w:tcPr>
          <w:p>
            <w:pPr>
              <w:jc w:val="right"/>
              <w:ind w:right="611"/>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4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4"/>
        </w:trPr>
        <w:tc>
          <w:tcPr>
            <w:tcW w:w="45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Platform operations</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2,910</w:t>
            </w:r>
          </w:p>
        </w:tc>
        <w:tc>
          <w:tcPr>
            <w:tcW w:w="960" w:type="dxa"/>
            <w:vAlign w:val="bottom"/>
            <w:gridSpan w:val="2"/>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2,573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r>
      <w:tr>
        <w:trPr>
          <w:trHeight w:val="232"/>
        </w:trPr>
        <w:tc>
          <w:tcPr>
            <w:tcW w:w="45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26"/>
        </w:trPr>
        <w:tc>
          <w:tcPr>
            <w:tcW w:w="45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r>
      <w:tr>
        <w:trPr>
          <w:trHeight w:val="25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3,437</w:t>
            </w:r>
          </w:p>
        </w:tc>
        <w:tc>
          <w:tcPr>
            <w:tcW w:w="960" w:type="dxa"/>
            <w:vAlign w:val="bottom"/>
            <w:gridSpan w:val="2"/>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2,949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right="240" w:firstLine="479"/>
        <w:spacing w:after="0" w:line="256" w:lineRule="auto"/>
        <w:rPr>
          <w:sz w:val="20"/>
          <w:szCs w:val="20"/>
          <w:color w:val="auto"/>
        </w:rPr>
      </w:pPr>
      <w:r>
        <w:rPr>
          <w:rFonts w:ascii="Arial" w:cs="Arial" w:eastAsia="Arial" w:hAnsi="Arial"/>
          <w:sz w:val="18"/>
          <w:szCs w:val="18"/>
          <w:color w:val="auto"/>
        </w:rPr>
        <w:t>For the three months ended June 30, 2023, total interest cost incurred was $0.1 million. For the three months ended June 30, 2022, total interest cost incurred was de minimis. For the six months ended June 30, 2023 and 2022, total interest cost incurred was $0.2 million and $0.2 million, respectively. Interest costs capitalized during the three and six months ended June 30, 2023 and 2022 were de minimis.</w:t>
      </w:r>
    </w:p>
    <w:p>
      <w:pPr>
        <w:spacing w:after="0" w:line="300" w:lineRule="exact"/>
        <w:rPr>
          <w:sz w:val="20"/>
          <w:szCs w:val="20"/>
          <w:color w:val="auto"/>
        </w:rPr>
      </w:pPr>
    </w:p>
    <w:p>
      <w:pPr>
        <w:ind w:left="220" w:hanging="214"/>
        <w:spacing w:after="0"/>
        <w:tabs>
          <w:tab w:leader="none" w:pos="220" w:val="left"/>
        </w:tabs>
        <w:numPr>
          <w:ilvl w:val="0"/>
          <w:numId w:val="12"/>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Leases</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Lessee Arrangements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have operating leases for our office space, which have remaining lease terms of up to eight years. We do not have finance leases.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Some of our leases include renewal options to extend the leases for up to five years and/or termination options to terminate the leases within one year.</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If it is reasonably certain that a renewal or termination option will be exercised, the exercise of the option is considered in calculating the term of the lease.</w:t>
      </w:r>
    </w:p>
    <w:p>
      <w:pPr>
        <w:spacing w:after="0" w:line="124" w:lineRule="exact"/>
        <w:rPr>
          <w:sz w:val="20"/>
          <w:szCs w:val="20"/>
          <w:color w:val="auto"/>
        </w:rPr>
      </w:pPr>
    </w:p>
    <w:p>
      <w:pPr>
        <w:ind w:right="700" w:firstLine="479"/>
        <w:spacing w:after="0" w:line="266" w:lineRule="auto"/>
        <w:rPr>
          <w:sz w:val="20"/>
          <w:szCs w:val="20"/>
          <w:color w:val="auto"/>
        </w:rPr>
      </w:pPr>
      <w:r>
        <w:rPr>
          <w:rFonts w:ascii="Arial" w:cs="Arial" w:eastAsia="Arial" w:hAnsi="Arial"/>
          <w:sz w:val="18"/>
          <w:szCs w:val="18"/>
          <w:color w:val="auto"/>
        </w:rPr>
        <w:t>As of June 30, 2023, our operating leases had a weighted-average remaining lease term of approximately seven years and a weighted-average incremental borrowing rate of 3.5%.</w:t>
      </w:r>
    </w:p>
    <w:p>
      <w:pPr>
        <w:spacing w:after="0" w:line="74" w:lineRule="exact"/>
        <w:rPr>
          <w:sz w:val="20"/>
          <w:szCs w:val="20"/>
          <w:color w:val="auto"/>
        </w:rPr>
      </w:pPr>
    </w:p>
    <w:p>
      <w:pPr>
        <w:ind w:right="220" w:firstLine="479"/>
        <w:spacing w:after="0" w:line="266" w:lineRule="auto"/>
        <w:rPr>
          <w:sz w:val="20"/>
          <w:szCs w:val="20"/>
          <w:color w:val="auto"/>
        </w:rPr>
      </w:pPr>
      <w:r>
        <w:rPr>
          <w:rFonts w:ascii="Arial" w:cs="Arial" w:eastAsia="Arial" w:hAnsi="Arial"/>
          <w:sz w:val="18"/>
          <w:szCs w:val="18"/>
          <w:color w:val="auto"/>
        </w:rPr>
        <w:t>Cash paid for amounts included in the operating lease liabilities was $1.2 million and $2.2 million for the three and six months ended June 30, 2023, respectively, and $0.7 million and $1.3 million for the three and six months ended June 30, 2022,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300" w:type="dxa"/>
            <w:vAlign w:val="bottom"/>
            <w:gridSpan w:val="2"/>
          </w:tcPr>
          <w:p>
            <w:pPr>
              <w:ind w:left="480"/>
              <w:spacing w:after="0"/>
              <w:rPr>
                <w:sz w:val="20"/>
                <w:szCs w:val="20"/>
                <w:color w:val="auto"/>
              </w:rPr>
            </w:pPr>
            <w:r>
              <w:rPr>
                <w:rFonts w:ascii="Arial" w:cs="Arial" w:eastAsia="Arial" w:hAnsi="Arial"/>
                <w:sz w:val="18"/>
                <w:szCs w:val="18"/>
                <w:color w:val="auto"/>
                <w:w w:val="91"/>
              </w:rPr>
              <w:t>The components of lease expense were as follows (in thousands):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16"/>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320" w:type="dxa"/>
            <w:vAlign w:val="bottom"/>
            <w:gridSpan w:val="4"/>
          </w:tcPr>
          <w:p>
            <w:pPr>
              <w:jc w:val="right"/>
              <w:ind w:right="11"/>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5"/>
          </w:tcPr>
          <w:p>
            <w:pPr>
              <w:ind w:left="400"/>
              <w:spacing w:after="0"/>
              <w:rPr>
                <w:sz w:val="20"/>
                <w:szCs w:val="20"/>
                <w:color w:val="auto"/>
              </w:rPr>
            </w:pPr>
            <w:r>
              <w:rPr>
                <w:rFonts w:ascii="Arial" w:cs="Arial" w:eastAsia="Arial" w:hAnsi="Arial"/>
                <w:sz w:val="18"/>
                <w:szCs w:val="18"/>
                <w:b w:val="1"/>
                <w:bCs w:val="1"/>
                <w:color w:val="auto"/>
              </w:rPr>
              <w:t>Six Months Ended</w:t>
            </w:r>
          </w:p>
        </w:tc>
      </w:tr>
      <w:tr>
        <w:trPr>
          <w:trHeight w:val="231"/>
        </w:trPr>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0"/>
        </w:trPr>
        <w:tc>
          <w:tcPr>
            <w:tcW w:w="7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r>
      <w:tr>
        <w:trPr>
          <w:trHeight w:val="233"/>
        </w:trPr>
        <w:tc>
          <w:tcPr>
            <w:tcW w:w="720" w:type="dxa"/>
            <w:vAlign w:val="bottom"/>
          </w:tcPr>
          <w:p>
            <w:pPr>
              <w:spacing w:after="0"/>
              <w:rPr>
                <w:sz w:val="20"/>
                <w:szCs w:val="20"/>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1,200</w:t>
            </w:r>
          </w:p>
        </w:tc>
        <w:tc>
          <w:tcPr>
            <w:tcW w:w="960" w:type="dxa"/>
            <w:vAlign w:val="bottom"/>
            <w:gridSpan w:val="2"/>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20" w:type="dxa"/>
            <w:vAlign w:val="bottom"/>
          </w:tcPr>
          <w:p>
            <w:pPr>
              <w:spacing w:after="0"/>
              <w:rPr>
                <w:sz w:val="20"/>
                <w:szCs w:val="20"/>
                <w:color w:val="auto"/>
              </w:rPr>
            </w:pPr>
          </w:p>
        </w:tc>
      </w:tr>
      <w:tr>
        <w:trPr>
          <w:trHeight w:val="226"/>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19"/>
                <w:szCs w:val="19"/>
                <w:color w:val="auto"/>
              </w:rPr>
            </w:pPr>
          </w:p>
        </w:tc>
      </w:tr>
      <w:tr>
        <w:trPr>
          <w:trHeight w:val="227"/>
        </w:trPr>
        <w:tc>
          <w:tcPr>
            <w:tcW w:w="72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r>
      <w:tr>
        <w:trPr>
          <w:trHeight w:val="233"/>
        </w:trPr>
        <w:tc>
          <w:tcPr>
            <w:tcW w:w="7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1,281</w:t>
            </w:r>
          </w:p>
        </w:tc>
        <w:tc>
          <w:tcPr>
            <w:tcW w:w="960" w:type="dxa"/>
            <w:vAlign w:val="bottom"/>
            <w:gridSpan w:val="2"/>
          </w:tcPr>
          <w:p>
            <w:pPr>
              <w:jc w:val="right"/>
              <w:ind w:right="671"/>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1,169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2,771</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2,421</w:t>
            </w:r>
          </w:p>
        </w:tc>
        <w:tc>
          <w:tcPr>
            <w:tcW w:w="220" w:type="dxa"/>
            <w:vAlign w:val="bottom"/>
          </w:tcPr>
          <w:p>
            <w:pPr>
              <w:spacing w:after="0"/>
              <w:rPr>
                <w:sz w:val="20"/>
                <w:szCs w:val="20"/>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711"/>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4"/>
        </w:trPr>
        <w:tc>
          <w:tcPr>
            <w:tcW w:w="7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left="46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480" w:type="dxa"/>
        <w:tblCellMar>
          <w:top w:w="0" w:type="dxa"/>
          <w:left w:w="0" w:type="dxa"/>
          <w:bottom w:w="0" w:type="dxa"/>
          <w:right w:w="0" w:type="dxa"/>
        </w:tblCellMar>
      </w:tblPr>
      <w:tr>
        <w:trPr>
          <w:trHeight w:val="224"/>
        </w:trPr>
        <w:tc>
          <w:tcPr>
            <w:tcW w:w="7460" w:type="dxa"/>
            <w:vAlign w:val="bottom"/>
            <w:gridSpan w:val="2"/>
          </w:tcPr>
          <w:p>
            <w:pPr>
              <w:spacing w:after="0"/>
              <w:rPr>
                <w:sz w:val="20"/>
                <w:szCs w:val="20"/>
                <w:color w:val="auto"/>
              </w:rPr>
            </w:pPr>
            <w:r>
              <w:rPr>
                <w:rFonts w:ascii="Arial" w:cs="Arial" w:eastAsia="Arial" w:hAnsi="Arial"/>
                <w:sz w:val="18"/>
                <w:szCs w:val="18"/>
                <w:color w:val="auto"/>
              </w:rPr>
              <w:t>Future minimum lease payments as of June 30, 2023 were as follows: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07"/>
        </w:trPr>
        <w:tc>
          <w:tcPr>
            <w:tcW w:w="18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center"/>
              <w:ind w:right="191"/>
              <w:spacing w:after="0"/>
              <w:rPr>
                <w:sz w:val="20"/>
                <w:szCs w:val="20"/>
                <w:color w:val="auto"/>
              </w:rPr>
            </w:pPr>
            <w:r>
              <w:rPr>
                <w:rFonts w:ascii="Arial" w:cs="Arial" w:eastAsia="Arial" w:hAnsi="Arial"/>
                <w:sz w:val="18"/>
                <w:szCs w:val="18"/>
                <w:b w:val="1"/>
                <w:bCs w:val="1"/>
                <w:color w:val="auto"/>
                <w:w w:val="84"/>
              </w:rPr>
              <w:t>As of</w:t>
            </w:r>
          </w:p>
        </w:tc>
      </w:tr>
      <w:tr>
        <w:trPr>
          <w:trHeight w:val="233"/>
        </w:trPr>
        <w:tc>
          <w:tcPr>
            <w:tcW w:w="18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85"/>
              </w:rPr>
              <w:t>June 30,</w:t>
            </w:r>
          </w:p>
        </w:tc>
      </w:tr>
      <w:tr>
        <w:trPr>
          <w:trHeight w:val="226"/>
        </w:trPr>
        <w:tc>
          <w:tcPr>
            <w:tcW w:w="1820" w:type="dxa"/>
            <w:vAlign w:val="bottom"/>
          </w:tcPr>
          <w:p>
            <w:pPr>
              <w:spacing w:after="0"/>
              <w:rPr>
                <w:sz w:val="19"/>
                <w:szCs w:val="19"/>
                <w:color w:val="auto"/>
              </w:rPr>
            </w:pPr>
          </w:p>
        </w:tc>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Year</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84"/>
              </w:rPr>
              <w:t>2023</w:t>
            </w:r>
          </w:p>
        </w:tc>
      </w:tr>
      <w:tr>
        <w:trPr>
          <w:trHeight w:val="220"/>
        </w:trPr>
        <w:tc>
          <w:tcPr>
            <w:tcW w:w="182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r>
      <w:tr>
        <w:trPr>
          <w:trHeight w:val="232"/>
        </w:trPr>
        <w:tc>
          <w:tcPr>
            <w:tcW w:w="7460" w:type="dxa"/>
            <w:vAlign w:val="bottom"/>
            <w:gridSpan w:val="2"/>
          </w:tcPr>
          <w:p>
            <w:pPr>
              <w:ind w:left="18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4,417</w:t>
            </w:r>
          </w:p>
        </w:tc>
      </w:tr>
      <w:tr>
        <w:trPr>
          <w:trHeight w:val="234"/>
        </w:trPr>
        <w:tc>
          <w:tcPr>
            <w:tcW w:w="1820" w:type="dxa"/>
            <w:vAlign w:val="bottom"/>
          </w:tcPr>
          <w:p>
            <w:pPr>
              <w:spacing w:after="0"/>
              <w:rPr>
                <w:sz w:val="20"/>
                <w:szCs w:val="20"/>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r>
      <w:tr>
        <w:trPr>
          <w:trHeight w:val="226"/>
        </w:trPr>
        <w:tc>
          <w:tcPr>
            <w:tcW w:w="7460" w:type="dxa"/>
            <w:vAlign w:val="bottom"/>
            <w:gridSpan w:val="2"/>
          </w:tcPr>
          <w:p>
            <w:pPr>
              <w:ind w:left="18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4,291</w:t>
            </w:r>
          </w:p>
        </w:tc>
      </w:tr>
      <w:tr>
        <w:trPr>
          <w:trHeight w:val="240"/>
        </w:trPr>
        <w:tc>
          <w:tcPr>
            <w:tcW w:w="1820" w:type="dxa"/>
            <w:vAlign w:val="bottom"/>
          </w:tcPr>
          <w:p>
            <w:pPr>
              <w:spacing w:after="0"/>
              <w:rPr>
                <w:sz w:val="20"/>
                <w:szCs w:val="20"/>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r>
      <w:tr>
        <w:trPr>
          <w:trHeight w:val="226"/>
        </w:trPr>
        <w:tc>
          <w:tcPr>
            <w:tcW w:w="1820" w:type="dxa"/>
            <w:vAlign w:val="bottom"/>
          </w:tcPr>
          <w:p>
            <w:pPr>
              <w:spacing w:after="0"/>
              <w:rPr>
                <w:sz w:val="19"/>
                <w:szCs w:val="19"/>
                <w:color w:val="auto"/>
              </w:rPr>
            </w:pPr>
          </w:p>
        </w:tc>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10,934</w:t>
            </w:r>
          </w:p>
        </w:tc>
      </w:tr>
      <w:tr>
        <w:trPr>
          <w:trHeight w:val="220"/>
        </w:trPr>
        <w:tc>
          <w:tcPr>
            <w:tcW w:w="1820" w:type="dxa"/>
            <w:vAlign w:val="bottom"/>
          </w:tcPr>
          <w:p>
            <w:pPr>
              <w:spacing w:after="0"/>
              <w:rPr>
                <w:sz w:val="19"/>
                <w:szCs w:val="19"/>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undiscounted future lease payments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30,673</w:t>
            </w:r>
          </w:p>
        </w:tc>
      </w:tr>
      <w:tr>
        <w:trPr>
          <w:trHeight w:val="239"/>
        </w:trPr>
        <w:tc>
          <w:tcPr>
            <w:tcW w:w="1820" w:type="dxa"/>
            <w:vAlign w:val="bottom"/>
          </w:tcPr>
          <w:p>
            <w:pPr>
              <w:spacing w:after="0"/>
              <w:rPr>
                <w:sz w:val="20"/>
                <w:szCs w:val="20"/>
                <w:color w:val="auto"/>
              </w:rPr>
            </w:pPr>
          </w:p>
        </w:tc>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w:t>
            </w:r>
          </w:p>
        </w:tc>
      </w:tr>
      <w:tr>
        <w:trPr>
          <w:trHeight w:val="220"/>
        </w:trPr>
        <w:tc>
          <w:tcPr>
            <w:tcW w:w="1820" w:type="dxa"/>
            <w:vAlign w:val="bottom"/>
          </w:tcPr>
          <w:p>
            <w:pPr>
              <w:spacing w:after="0"/>
              <w:rPr>
                <w:sz w:val="19"/>
                <w:szCs w:val="19"/>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Present value of operating lease liabilities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27,252</w:t>
            </w:r>
          </w:p>
        </w:tc>
      </w:tr>
      <w:tr>
        <w:trPr>
          <w:trHeight w:val="226"/>
        </w:trPr>
        <w:tc>
          <w:tcPr>
            <w:tcW w:w="18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Less: Operating lease liabilities, current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w:t>
            </w:r>
          </w:p>
        </w:tc>
      </w:tr>
      <w:tr>
        <w:trPr>
          <w:trHeight w:val="259"/>
        </w:trPr>
        <w:tc>
          <w:tcPr>
            <w:tcW w:w="1820" w:type="dxa"/>
            <w:vAlign w:val="bottom"/>
          </w:tcPr>
          <w:p>
            <w:pPr>
              <w:spacing w:after="0"/>
              <w:rPr>
                <w:sz w:val="22"/>
                <w:szCs w:val="22"/>
                <w:color w:val="auto"/>
              </w:rPr>
            </w:pPr>
          </w:p>
        </w:tc>
        <w:tc>
          <w:tcPr>
            <w:tcW w:w="5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lease liabilities, noncurrent</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23,334</w:t>
            </w:r>
          </w:p>
        </w:tc>
      </w:tr>
      <w:tr>
        <w:trPr>
          <w:trHeight w:val="20"/>
        </w:trPr>
        <w:tc>
          <w:tcPr>
            <w:tcW w:w="182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 xml:space="preserve">6. </w:t>
      </w:r>
      <w:r>
        <w:rPr>
          <w:rFonts w:ascii="Arial" w:cs="Arial" w:eastAsia="Arial" w:hAnsi="Arial"/>
          <w:sz w:val="21"/>
          <w:szCs w:val="21"/>
          <w:b w:val="1"/>
          <w:bCs w:val="1"/>
          <w:i w:val="1"/>
          <w:iCs w:val="1"/>
          <w:color w:val="231F20"/>
        </w:rPr>
        <w:t>Intangible Assets, Net</w:t>
      </w:r>
    </w:p>
    <w:p>
      <w:pPr>
        <w:spacing w:after="0" w:line="120" w:lineRule="exact"/>
        <w:rPr>
          <w:sz w:val="20"/>
          <w:szCs w:val="20"/>
          <w:color w:val="auto"/>
        </w:rPr>
      </w:pPr>
    </w:p>
    <w:tbl>
      <w:tblPr>
        <w:tblLayout w:type="fixed"/>
        <w:tblInd w:w="480" w:type="dxa"/>
        <w:tblCellMar>
          <w:top w:w="0" w:type="dxa"/>
          <w:left w:w="0" w:type="dxa"/>
          <w:bottom w:w="0" w:type="dxa"/>
          <w:right w:w="0" w:type="dxa"/>
        </w:tblCellMar>
      </w:tblPr>
      <w:tr>
        <w:trPr>
          <w:trHeight w:val="224"/>
        </w:trPr>
        <w:tc>
          <w:tcPr>
            <w:tcW w:w="6240" w:type="dxa"/>
            <w:vAlign w:val="bottom"/>
            <w:gridSpan w:val="3"/>
          </w:tcPr>
          <w:p>
            <w:pPr>
              <w:spacing w:after="0"/>
              <w:rPr>
                <w:sz w:val="20"/>
                <w:szCs w:val="20"/>
                <w:color w:val="auto"/>
              </w:rPr>
            </w:pPr>
            <w:r>
              <w:rPr>
                <w:rFonts w:ascii="Arial" w:cs="Arial" w:eastAsia="Arial" w:hAnsi="Arial"/>
                <w:sz w:val="18"/>
                <w:szCs w:val="18"/>
                <w:color w:val="auto"/>
                <w:w w:val="98"/>
              </w:rPr>
              <w:t>The balances of intangible assets and accumulated amortization are as follows: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691"/>
              <w:spacing w:after="0"/>
              <w:rPr>
                <w:sz w:val="20"/>
                <w:szCs w:val="20"/>
                <w:color w:val="auto"/>
              </w:rPr>
            </w:pPr>
            <w:r>
              <w:rPr>
                <w:rFonts w:ascii="Arial" w:cs="Arial" w:eastAsia="Arial" w:hAnsi="Arial"/>
                <w:sz w:val="18"/>
                <w:szCs w:val="18"/>
                <w:b w:val="1"/>
                <w:bCs w:val="1"/>
                <w:color w:val="auto"/>
                <w:w w:val="88"/>
              </w:rPr>
              <w:t>As of June 30, 2023</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4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9"/>
              </w:rPr>
              <w:t>Remaining Weighted-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auto"/>
                <w:w w:val="91"/>
              </w:rPr>
              <w:t>Accumulated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center"/>
              <w:ind w:right="31"/>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4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6"/>
              </w:rPr>
              <w:t>Average Useful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spacing w:after="0"/>
              <w:rPr>
                <w:sz w:val="20"/>
                <w:szCs w:val="20"/>
                <w:color w:val="auto"/>
              </w:rPr>
            </w:pPr>
            <w:r>
              <w:rPr>
                <w:rFonts w:ascii="Arial" w:cs="Arial" w:eastAsia="Arial" w:hAnsi="Arial"/>
                <w:sz w:val="18"/>
                <w:szCs w:val="18"/>
                <w:b w:val="1"/>
                <w:bCs w:val="1"/>
                <w:color w:val="auto"/>
                <w:w w:val="95"/>
              </w:rPr>
              <w:t>Gross 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40" w:type="dxa"/>
            <w:vAlign w:val="bottom"/>
          </w:tcPr>
          <w:p>
            <w:pPr>
              <w:spacing w:after="0"/>
              <w:rPr>
                <w:sz w:val="20"/>
                <w:szCs w:val="20"/>
                <w:color w:val="auto"/>
              </w:rPr>
            </w:pPr>
          </w:p>
        </w:tc>
        <w:tc>
          <w:tcPr>
            <w:tcW w:w="406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8"/>
              </w:rPr>
              <w:t>4,927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4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4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left="611"/>
              <w:spacing w:after="0"/>
              <w:rPr>
                <w:sz w:val="20"/>
                <w:szCs w:val="20"/>
                <w:color w:val="auto"/>
              </w:rPr>
            </w:pPr>
            <w:r>
              <w:rPr>
                <w:rFonts w:ascii="Arial" w:cs="Arial" w:eastAsia="Arial" w:hAnsi="Arial"/>
                <w:sz w:val="18"/>
                <w:szCs w:val="18"/>
                <w:color w:val="auto"/>
                <w:w w:val="88"/>
              </w:rPr>
              <w:t>2,300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Trademarks/tradenames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center"/>
              <w:ind w:left="611"/>
              <w:spacing w:after="0"/>
              <w:rPr>
                <w:sz w:val="20"/>
                <w:szCs w:val="20"/>
                <w:color w:val="auto"/>
              </w:rPr>
            </w:pPr>
            <w:r>
              <w:rPr>
                <w:rFonts w:ascii="Arial" w:cs="Arial" w:eastAsia="Arial" w:hAnsi="Arial"/>
                <w:sz w:val="18"/>
                <w:szCs w:val="18"/>
                <w:color w:val="auto"/>
                <w:w w:val="88"/>
              </w:rPr>
              <w:t>1,400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88"/>
              </w:rPr>
              <w:t>8,627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691"/>
              <w:spacing w:after="0"/>
              <w:rPr>
                <w:sz w:val="20"/>
                <w:szCs w:val="20"/>
                <w:color w:val="auto"/>
              </w:rPr>
            </w:pPr>
            <w:r>
              <w:rPr>
                <w:rFonts w:ascii="Arial" w:cs="Arial" w:eastAsia="Arial" w:hAnsi="Arial"/>
                <w:sz w:val="18"/>
                <w:szCs w:val="18"/>
                <w:b w:val="1"/>
                <w:bCs w:val="1"/>
                <w:color w:val="auto"/>
                <w:w w:val="88"/>
              </w:rPr>
              <w:t>As of December 31, 2022</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40" w:type="dxa"/>
            <w:vAlign w:val="bottom"/>
          </w:tcPr>
          <w:p>
            <w:pPr>
              <w:jc w:val="center"/>
              <w:spacing w:after="0" w:line="167" w:lineRule="exact"/>
              <w:rPr>
                <w:sz w:val="20"/>
                <w:szCs w:val="20"/>
                <w:color w:val="auto"/>
              </w:rPr>
            </w:pPr>
            <w:r>
              <w:rPr>
                <w:rFonts w:ascii="Arial" w:cs="Arial" w:eastAsia="Arial" w:hAnsi="Arial"/>
                <w:sz w:val="18"/>
                <w:szCs w:val="18"/>
                <w:b w:val="1"/>
                <w:bCs w:val="1"/>
                <w:color w:val="auto"/>
                <w:w w:val="89"/>
              </w:rPr>
              <w:t>Remaining 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auto"/>
                <w:w w:val="91"/>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center"/>
              <w:ind w:right="31"/>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4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86"/>
              </w:rPr>
              <w:t>Average Useful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Gross Amount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8"/>
              </w:rPr>
              <w:t>4,927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2"/>
        </w:trPr>
        <w:tc>
          <w:tcPr>
            <w:tcW w:w="14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left="611"/>
              <w:spacing w:after="0"/>
              <w:rPr>
                <w:sz w:val="20"/>
                <w:szCs w:val="20"/>
                <w:color w:val="auto"/>
              </w:rPr>
            </w:pPr>
            <w:r>
              <w:rPr>
                <w:rFonts w:ascii="Arial" w:cs="Arial" w:eastAsia="Arial" w:hAnsi="Arial"/>
                <w:sz w:val="18"/>
                <w:szCs w:val="18"/>
                <w:color w:val="auto"/>
                <w:w w:val="88"/>
              </w:rPr>
              <w:t>2,300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3"/>
        </w:trPr>
        <w:tc>
          <w:tcPr>
            <w:tcW w:w="140" w:type="dxa"/>
            <w:vAlign w:val="bottom"/>
          </w:tcPr>
          <w:p>
            <w:pPr>
              <w:spacing w:after="0"/>
              <w:rPr>
                <w:sz w:val="20"/>
                <w:szCs w:val="20"/>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Trademarks/tradenames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center"/>
              <w:ind w:left="611"/>
              <w:spacing w:after="0"/>
              <w:rPr>
                <w:sz w:val="20"/>
                <w:szCs w:val="20"/>
                <w:color w:val="auto"/>
              </w:rPr>
            </w:pPr>
            <w:r>
              <w:rPr>
                <w:rFonts w:ascii="Arial" w:cs="Arial" w:eastAsia="Arial" w:hAnsi="Arial"/>
                <w:sz w:val="18"/>
                <w:szCs w:val="18"/>
                <w:color w:val="auto"/>
                <w:w w:val="88"/>
              </w:rPr>
              <w:t>1,400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611"/>
              <w:spacing w:after="0"/>
              <w:rPr>
                <w:sz w:val="20"/>
                <w:szCs w:val="20"/>
                <w:color w:val="auto"/>
              </w:rPr>
            </w:pPr>
            <w:r>
              <w:rPr>
                <w:rFonts w:ascii="Arial" w:cs="Arial" w:eastAsia="Arial" w:hAnsi="Arial"/>
                <w:sz w:val="18"/>
                <w:szCs w:val="18"/>
                <w:color w:val="auto"/>
                <w:w w:val="88"/>
              </w:rPr>
              <w:t>8,627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Amortization of intangible assets recorded in the condensed consolidated statements of operations was as follows:</w:t>
      </w:r>
    </w:p>
    <w:p>
      <w:pPr>
        <w:spacing w:after="0" w:line="118"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2380" w:type="dxa"/>
            <w:vAlign w:val="bottom"/>
            <w:gridSpan w:val="4"/>
          </w:tcPr>
          <w:p>
            <w:pPr>
              <w:jc w:val="right"/>
              <w:ind w:right="91"/>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00" w:type="dxa"/>
            <w:vAlign w:val="bottom"/>
            <w:gridSpan w:val="4"/>
          </w:tcPr>
          <w:p>
            <w:pPr>
              <w:jc w:val="right"/>
              <w:ind w:right="611"/>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4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gridSpan w:val="3"/>
          </w:tcPr>
          <w:p>
            <w:pPr>
              <w:jc w:val="right"/>
              <w:ind w:right="571"/>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24"/>
        </w:trPr>
        <w:tc>
          <w:tcPr>
            <w:tcW w:w="46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Platform operations</w:t>
            </w: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3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32"/>
        </w:trPr>
        <w:tc>
          <w:tcPr>
            <w:tcW w:w="46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9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6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5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20" w:type="dxa"/>
            <w:vAlign w:val="bottom"/>
            <w:gridSpan w:val="2"/>
            <w:shd w:val="clear" w:color="auto" w:fill="CCEEFF"/>
          </w:tcPr>
          <w:p>
            <w:pPr>
              <w:jc w:val="right"/>
              <w:ind w:right="73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121" w:right="479" w:bottom="1440" w:gutter="0" w:footer="0" w:header="0"/>
        </w:sectPr>
      </w:pPr>
    </w:p>
    <w:p>
      <w:pPr>
        <w:spacing w:after="0" w:line="29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14" w:name="page15"/>
    <w:bookmarkEnd w:id="14"/>
    <w:p>
      <w:pPr>
        <w:jc w:val="center"/>
        <w:ind w:left="48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480" w:type="dxa"/>
        <w:tblCellMar>
          <w:top w:w="0" w:type="dxa"/>
          <w:left w:w="0" w:type="dxa"/>
          <w:bottom w:w="0" w:type="dxa"/>
          <w:right w:w="0" w:type="dxa"/>
        </w:tblCellMar>
      </w:tblPr>
      <w:tr>
        <w:trPr>
          <w:trHeight w:val="224"/>
        </w:trPr>
        <w:tc>
          <w:tcPr>
            <w:tcW w:w="9160" w:type="dxa"/>
            <w:vAlign w:val="bottom"/>
            <w:gridSpan w:val="2"/>
          </w:tcPr>
          <w:p>
            <w:pPr>
              <w:spacing w:after="0"/>
              <w:rPr>
                <w:sz w:val="20"/>
                <w:szCs w:val="20"/>
                <w:color w:val="auto"/>
              </w:rPr>
            </w:pPr>
            <w:r>
              <w:rPr>
                <w:rFonts w:ascii="Arial" w:cs="Arial" w:eastAsia="Arial" w:hAnsi="Arial"/>
                <w:sz w:val="18"/>
                <w:szCs w:val="18"/>
                <w:color w:val="231F20"/>
              </w:rPr>
              <w:t xml:space="preserve">Estimated future </w:t>
            </w:r>
            <w:r>
              <w:rPr>
                <w:rFonts w:ascii="Arial" w:cs="Arial" w:eastAsia="Arial" w:hAnsi="Arial"/>
                <w:sz w:val="18"/>
                <w:szCs w:val="18"/>
                <w:color w:val="000000"/>
              </w:rPr>
              <w:t>amortization</w:t>
            </w:r>
            <w:r>
              <w:rPr>
                <w:rFonts w:ascii="Arial" w:cs="Arial" w:eastAsia="Arial" w:hAnsi="Arial"/>
                <w:sz w:val="18"/>
                <w:szCs w:val="18"/>
                <w:color w:val="231F20"/>
              </w:rPr>
              <w:t xml:space="preserve"> of intangible assets is as follows: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60"/>
        </w:trPr>
        <w:tc>
          <w:tcPr>
            <w:tcW w:w="24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88"/>
              </w:rPr>
              <w:t>As of June 30,</w:t>
            </w:r>
          </w:p>
        </w:tc>
      </w:tr>
      <w:tr>
        <w:trPr>
          <w:trHeight w:val="233"/>
        </w:trPr>
        <w:tc>
          <w:tcPr>
            <w:tcW w:w="240" w:type="dxa"/>
            <w:vAlign w:val="bottom"/>
          </w:tcPr>
          <w:p>
            <w:pPr>
              <w:spacing w:after="0"/>
              <w:rPr>
                <w:sz w:val="20"/>
                <w:szCs w:val="20"/>
                <w:color w:val="auto"/>
              </w:rPr>
            </w:pPr>
          </w:p>
        </w:tc>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Year</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2023</w:t>
            </w:r>
          </w:p>
        </w:tc>
      </w:tr>
      <w:tr>
        <w:trPr>
          <w:trHeight w:val="220"/>
        </w:trPr>
        <w:tc>
          <w:tcPr>
            <w:tcW w:w="240" w:type="dxa"/>
            <w:vAlign w:val="bottom"/>
          </w:tcPr>
          <w:p>
            <w:pPr>
              <w:spacing w:after="0"/>
              <w:rPr>
                <w:sz w:val="19"/>
                <w:szCs w:val="19"/>
                <w:color w:val="auto"/>
              </w:rPr>
            </w:pPr>
          </w:p>
        </w:tc>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6"/>
        </w:trPr>
        <w:tc>
          <w:tcPr>
            <w:tcW w:w="9160" w:type="dxa"/>
            <w:vAlign w:val="bottom"/>
            <w:gridSpan w:val="2"/>
          </w:tcPr>
          <w:p>
            <w:pPr>
              <w:ind w:left="26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40"/>
        </w:trPr>
        <w:tc>
          <w:tcPr>
            <w:tcW w:w="240" w:type="dxa"/>
            <w:vAlign w:val="bottom"/>
          </w:tcPr>
          <w:p>
            <w:pPr>
              <w:spacing w:after="0"/>
              <w:rPr>
                <w:sz w:val="20"/>
                <w:szCs w:val="20"/>
                <w:color w:val="auto"/>
              </w:rPr>
            </w:pPr>
          </w:p>
        </w:tc>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6"/>
        </w:trPr>
        <w:tc>
          <w:tcPr>
            <w:tcW w:w="9160" w:type="dxa"/>
            <w:vAlign w:val="bottom"/>
            <w:gridSpan w:val="2"/>
          </w:tcPr>
          <w:p>
            <w:pPr>
              <w:ind w:left="26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7"/>
        </w:trPr>
        <w:tc>
          <w:tcPr>
            <w:tcW w:w="240" w:type="dxa"/>
            <w:vAlign w:val="bottom"/>
          </w:tcPr>
          <w:p>
            <w:pPr>
              <w:spacing w:after="0"/>
              <w:rPr>
                <w:sz w:val="19"/>
                <w:szCs w:val="19"/>
                <w:color w:val="auto"/>
              </w:rPr>
            </w:pPr>
          </w:p>
        </w:tc>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240" w:type="dxa"/>
            <w:vAlign w:val="bottom"/>
          </w:tcPr>
          <w:p>
            <w:pPr>
              <w:spacing w:after="0"/>
              <w:rPr>
                <w:sz w:val="20"/>
                <w:szCs w:val="20"/>
                <w:color w:val="auto"/>
              </w:rPr>
            </w:pPr>
          </w:p>
        </w:tc>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240" w:type="dxa"/>
            <w:vAlign w:val="bottom"/>
          </w:tcPr>
          <w:p>
            <w:pPr>
              <w:spacing w:after="0"/>
              <w:rPr>
                <w:sz w:val="20"/>
                <w:szCs w:val="20"/>
                <w:color w:val="auto"/>
              </w:rPr>
            </w:pPr>
          </w:p>
        </w:tc>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0"/>
        </w:trPr>
        <w:tc>
          <w:tcPr>
            <w:tcW w:w="240" w:type="dxa"/>
            <w:vAlign w:val="bottom"/>
          </w:tcPr>
          <w:p>
            <w:pPr>
              <w:spacing w:after="0" w:line="20" w:lineRule="exact"/>
              <w:rPr>
                <w:sz w:val="1"/>
                <w:szCs w:val="1"/>
                <w:color w:val="auto"/>
              </w:rPr>
            </w:pPr>
          </w:p>
        </w:tc>
        <w:tc>
          <w:tcPr>
            <w:tcW w:w="8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 xml:space="preserve">7. </w:t>
      </w:r>
      <w:r>
        <w:rPr>
          <w:rFonts w:ascii="Arial" w:cs="Arial" w:eastAsia="Arial" w:hAnsi="Arial"/>
          <w:sz w:val="21"/>
          <w:szCs w:val="21"/>
          <w:b w:val="1"/>
          <w:bCs w:val="1"/>
          <w:i w:val="1"/>
          <w:iCs w:val="1"/>
          <w:color w:val="231F20"/>
        </w:rPr>
        <w:t>Accrued Liabilities</w:t>
      </w:r>
    </w:p>
    <w:p>
      <w:pPr>
        <w:spacing w:after="0" w:line="120" w:lineRule="exact"/>
        <w:rPr>
          <w:sz w:val="20"/>
          <w:szCs w:val="20"/>
          <w:color w:val="auto"/>
        </w:rPr>
      </w:pPr>
    </w:p>
    <w:tbl>
      <w:tblPr>
        <w:tblLayout w:type="fixed"/>
        <w:tblInd w:w="480" w:type="dxa"/>
        <w:tblCellMar>
          <w:top w:w="0" w:type="dxa"/>
          <w:left w:w="0" w:type="dxa"/>
          <w:bottom w:w="0" w:type="dxa"/>
          <w:right w:w="0" w:type="dxa"/>
        </w:tblCellMar>
      </w:tblPr>
      <w:tr>
        <w:trPr>
          <w:trHeight w:val="224"/>
        </w:trPr>
        <w:tc>
          <w:tcPr>
            <w:tcW w:w="7680" w:type="dxa"/>
            <w:vAlign w:val="bottom"/>
            <w:gridSpan w:val="2"/>
          </w:tcPr>
          <w:p>
            <w:pPr>
              <w:spacing w:after="0"/>
              <w:rPr>
                <w:sz w:val="20"/>
                <w:szCs w:val="20"/>
                <w:color w:val="auto"/>
              </w:rPr>
            </w:pPr>
            <w:r>
              <w:rPr>
                <w:rFonts w:ascii="Arial" w:cs="Arial" w:eastAsia="Arial" w:hAnsi="Arial"/>
                <w:sz w:val="18"/>
                <w:szCs w:val="18"/>
                <w:color w:val="231F20"/>
              </w:rPr>
              <w:t>The Company’s accrued liabilities consisted of the following:</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07"/>
        </w:trPr>
        <w:tc>
          <w:tcPr>
            <w:tcW w:w="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Pr>
          <w:p>
            <w:pPr>
              <w:spacing w:after="0"/>
              <w:rPr>
                <w:sz w:val="24"/>
                <w:szCs w:val="24"/>
                <w:color w:val="auto"/>
              </w:rPr>
            </w:pPr>
          </w:p>
        </w:tc>
        <w:tc>
          <w:tcPr>
            <w:tcW w:w="138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1"/>
              </w:rPr>
              <w:t>As of December</w:t>
            </w:r>
          </w:p>
        </w:tc>
      </w:tr>
      <w:tr>
        <w:trPr>
          <w:trHeight w:val="226"/>
        </w:trPr>
        <w:tc>
          <w:tcPr>
            <w:tcW w:w="24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31,</w:t>
            </w:r>
          </w:p>
        </w:tc>
      </w:tr>
      <w:tr>
        <w:trPr>
          <w:trHeight w:val="228"/>
        </w:trPr>
        <w:tc>
          <w:tcPr>
            <w:tcW w:w="240" w:type="dxa"/>
            <w:vAlign w:val="bottom"/>
          </w:tcPr>
          <w:p>
            <w:pPr>
              <w:spacing w:after="0"/>
              <w:rPr>
                <w:sz w:val="19"/>
                <w:szCs w:val="19"/>
                <w:color w:val="auto"/>
              </w:rPr>
            </w:pPr>
          </w:p>
        </w:tc>
        <w:tc>
          <w:tcPr>
            <w:tcW w:w="7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4"/>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r>
      <w:tr>
        <w:trPr>
          <w:trHeight w:val="224"/>
        </w:trPr>
        <w:tc>
          <w:tcPr>
            <w:tcW w:w="240" w:type="dxa"/>
            <w:vAlign w:val="bottom"/>
          </w:tcPr>
          <w:p>
            <w:pPr>
              <w:spacing w:after="0"/>
              <w:rPr>
                <w:sz w:val="19"/>
                <w:szCs w:val="19"/>
                <w:color w:val="auto"/>
              </w:rPr>
            </w:pPr>
          </w:p>
        </w:tc>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traffic acquisition costs</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24,861</w:t>
            </w:r>
          </w:p>
        </w:tc>
        <w:tc>
          <w:tcPr>
            <w:tcW w:w="40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29,631</w:t>
            </w:r>
          </w:p>
        </w:tc>
      </w:tr>
      <w:tr>
        <w:trPr>
          <w:trHeight w:val="226"/>
        </w:trPr>
        <w:tc>
          <w:tcPr>
            <w:tcW w:w="240" w:type="dxa"/>
            <w:vAlign w:val="bottom"/>
          </w:tcPr>
          <w:p>
            <w:pPr>
              <w:spacing w:after="0"/>
              <w:rPr>
                <w:sz w:val="19"/>
                <w:szCs w:val="19"/>
                <w:color w:val="auto"/>
              </w:rPr>
            </w:pPr>
          </w:p>
        </w:tc>
        <w:tc>
          <w:tcPr>
            <w:tcW w:w="744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w:t>
            </w:r>
          </w:p>
        </w:tc>
      </w:tr>
      <w:tr>
        <w:trPr>
          <w:trHeight w:val="253"/>
        </w:trPr>
        <w:tc>
          <w:tcPr>
            <w:tcW w:w="240" w:type="dxa"/>
            <w:vAlign w:val="bottom"/>
          </w:tcPr>
          <w:p>
            <w:pPr>
              <w:spacing w:after="0"/>
              <w:rPr>
                <w:sz w:val="21"/>
                <w:szCs w:val="21"/>
                <w:color w:val="auto"/>
              </w:rPr>
            </w:pPr>
          </w:p>
        </w:tc>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29,831</w:t>
            </w:r>
          </w:p>
        </w:tc>
        <w:tc>
          <w:tcPr>
            <w:tcW w:w="40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35,063</w:t>
            </w:r>
          </w:p>
        </w:tc>
      </w:tr>
      <w:tr>
        <w:trPr>
          <w:trHeight w:val="20"/>
        </w:trPr>
        <w:tc>
          <w:tcPr>
            <w:tcW w:w="240" w:type="dxa"/>
            <w:vAlign w:val="bottom"/>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right="200" w:firstLine="479"/>
        <w:spacing w:after="0" w:line="273" w:lineRule="auto"/>
        <w:rPr>
          <w:sz w:val="20"/>
          <w:szCs w:val="20"/>
          <w:color w:val="auto"/>
        </w:rPr>
      </w:pPr>
      <w:r>
        <w:rPr>
          <w:rFonts w:ascii="Arial" w:cs="Arial" w:eastAsia="Arial" w:hAnsi="Arial"/>
          <w:sz w:val="17"/>
          <w:szCs w:val="17"/>
          <w:color w:val="auto"/>
        </w:rPr>
        <w:t>The Company had a balance of $0.2 million as of December 31, 2022 payable to related parties for expenses they incurred on our behalf, which was recorded within accrued liabilities on the condensed consolidated balance sheets. The Company did not have a balance recorded within accrued liabilities payable to related parties as of June 30, 2023. The related expense incurred by the Company was $0.1 million and $0.4 million for the three and six months ended June 30, 2023, respectively, and $0.4 million for the three and six months ended June 30, 2022.</w:t>
      </w:r>
    </w:p>
    <w:p>
      <w:pPr>
        <w:spacing w:after="0" w:line="286" w:lineRule="exact"/>
        <w:rPr>
          <w:sz w:val="20"/>
          <w:szCs w:val="20"/>
          <w:color w:val="auto"/>
        </w:rPr>
      </w:pPr>
    </w:p>
    <w:p>
      <w:pPr>
        <w:ind w:left="220" w:hanging="214"/>
        <w:spacing w:after="0"/>
        <w:tabs>
          <w:tab w:leader="none" w:pos="220" w:val="left"/>
        </w:tabs>
        <w:numPr>
          <w:ilvl w:val="0"/>
          <w:numId w:val="13"/>
        </w:numPr>
        <w:rPr>
          <w:rFonts w:ascii="Arial" w:cs="Arial" w:eastAsia="Arial" w:hAnsi="Arial"/>
          <w:sz w:val="21"/>
          <w:szCs w:val="21"/>
          <w:b w:val="1"/>
          <w:bCs w:val="1"/>
          <w:color w:val="231F20"/>
        </w:rPr>
      </w:pPr>
      <w:r>
        <w:rPr>
          <w:rFonts w:ascii="Arial" w:cs="Arial" w:eastAsia="Arial" w:hAnsi="Arial"/>
          <w:sz w:val="21"/>
          <w:szCs w:val="21"/>
          <w:b w:val="1"/>
          <w:bCs w:val="1"/>
          <w:i w:val="1"/>
          <w:iCs w:val="1"/>
          <w:color w:val="231F20"/>
        </w:rPr>
        <w:t>Revolving Credit Facility</w:t>
      </w:r>
    </w:p>
    <w:p>
      <w:pPr>
        <w:spacing w:after="0" w:line="127" w:lineRule="exact"/>
        <w:rPr>
          <w:sz w:val="20"/>
          <w:szCs w:val="20"/>
          <w:color w:val="auto"/>
        </w:rPr>
      </w:pPr>
    </w:p>
    <w:p>
      <w:pPr>
        <w:ind w:right="240" w:firstLine="479"/>
        <w:spacing w:after="0" w:line="290" w:lineRule="auto"/>
        <w:rPr>
          <w:sz w:val="20"/>
          <w:szCs w:val="20"/>
          <w:color w:val="auto"/>
        </w:rPr>
      </w:pPr>
      <w:r>
        <w:rPr>
          <w:rFonts w:ascii="Arial" w:cs="Arial" w:eastAsia="Arial" w:hAnsi="Arial"/>
          <w:sz w:val="16"/>
          <w:szCs w:val="16"/>
          <w:color w:val="231F20"/>
        </w:rPr>
        <w:t>On October 31, 2019, we entere</w:t>
      </w:r>
      <w:r>
        <w:rPr>
          <w:rFonts w:ascii="Arial" w:cs="Arial" w:eastAsia="Arial" w:hAnsi="Arial"/>
          <w:sz w:val="16"/>
          <w:szCs w:val="16"/>
          <w:color w:val="000000"/>
        </w:rPr>
        <w:t>d into an asset-based revolving credit and security agreement (the "Loan Agreement") with PNC Bank, National</w:t>
      </w:r>
      <w:r>
        <w:rPr>
          <w:rFonts w:ascii="Arial" w:cs="Arial" w:eastAsia="Arial" w:hAnsi="Arial"/>
          <w:sz w:val="16"/>
          <w:szCs w:val="16"/>
          <w:color w:val="231F20"/>
        </w:rPr>
        <w:t xml:space="preserve"> </w:t>
      </w:r>
      <w:r>
        <w:rPr>
          <w:rFonts w:ascii="Arial" w:cs="Arial" w:eastAsia="Arial" w:hAnsi="Arial"/>
          <w:sz w:val="16"/>
          <w:szCs w:val="16"/>
          <w:color w:val="000000"/>
        </w:rPr>
        <w:t xml:space="preserve">Association (“PNC Bank”) that originally provided a senior secured revolving credit facility with borrowing capacity of up to $40.0 million and a maturity date of October 31, 2024. On April 4, 2023, we entered into an amendment to the Loan Agreement (as so amended, the "Amended Loan Agreement") that increases the borrowing capacity under the revolving credit facility to $75.0 million, extends the maturity date to April 4, 2028, and changes the rates at which advances will bear interest. </w:t>
      </w:r>
      <w:r>
        <w:rPr>
          <w:rFonts w:ascii="Arial" w:cs="Arial" w:eastAsia="Arial" w:hAnsi="Arial"/>
          <w:sz w:val="16"/>
          <w:szCs w:val="16"/>
          <w:color w:val="231F20"/>
        </w:rPr>
        <w:t>The Amended Loan Agreement is collateralized by security interests in substantially all of our assets.</w:t>
      </w:r>
    </w:p>
    <w:p>
      <w:pPr>
        <w:spacing w:after="0" w:line="60" w:lineRule="exact"/>
        <w:rPr>
          <w:sz w:val="20"/>
          <w:szCs w:val="20"/>
          <w:color w:val="auto"/>
        </w:rPr>
      </w:pPr>
    </w:p>
    <w:p>
      <w:pPr>
        <w:ind w:right="80" w:firstLine="479"/>
        <w:spacing w:after="0" w:line="284" w:lineRule="auto"/>
        <w:rPr>
          <w:sz w:val="20"/>
          <w:szCs w:val="20"/>
          <w:color w:val="auto"/>
        </w:rPr>
      </w:pPr>
      <w:r>
        <w:rPr>
          <w:rFonts w:ascii="Arial" w:cs="Arial" w:eastAsia="Arial" w:hAnsi="Arial"/>
          <w:sz w:val="16"/>
          <w:szCs w:val="16"/>
          <w:color w:val="231F20"/>
        </w:rPr>
        <w:t>Advances under the Amended Loan Agreement bear interest through maturity at a variable rate based upon our selection of either a Domestic Rate Loan or a Term SOFR Rate Loan (each, as defined in the Amended Loan Agreement). For Domestic Rate Loans, borrowings bear interest at the Alternate Base Rate plus an applicable margin. The Alternate Base Rate is defined as a fluctuating interest rate equal to the greater of (1) the base commercial lending rate of PNC Bank, (2) the overnight federal funds rate plus 0.50% and (3) the Daily Simple SOFR plus 1.00%. For Term SOFR Rate Loans, borrowings bear interest at the Term SOFR Rate (as defined in the Amended Loan Agreement) plus the SOFR Adjustment of 0.10% plus an applicable margin. The Company did not have an outstanding balance during the six months ended June 30, 2023. The applicable margin is between 1.00% to 1.25% for Domestic Rate Loans and between 2.00% and 2.25% for Term SOFR Rate Loans based on the average undrawn availability under the revolving credit facility. The applicable margin as of June 30, 2023 was equal to 1.00% for Domestic Rate Loans and 2.00% for Term SOFR Rate Loans. The facility fee for undrawn amounts under the Amended Loan Agreement is 0.375% per annum. We will be required to pay customary letter of credit fees, as necessary.</w:t>
      </w:r>
    </w:p>
    <w:p>
      <w:pPr>
        <w:spacing w:after="0" w:line="64" w:lineRule="exact"/>
        <w:rPr>
          <w:sz w:val="20"/>
          <w:szCs w:val="20"/>
          <w:color w:val="auto"/>
        </w:rPr>
      </w:pPr>
    </w:p>
    <w:p>
      <w:pPr>
        <w:ind w:firstLine="479"/>
        <w:spacing w:after="0" w:line="251" w:lineRule="auto"/>
        <w:rPr>
          <w:sz w:val="20"/>
          <w:szCs w:val="20"/>
          <w:color w:val="auto"/>
        </w:rPr>
      </w:pPr>
      <w:r>
        <w:rPr>
          <w:rFonts w:ascii="Arial" w:cs="Arial" w:eastAsia="Arial" w:hAnsi="Arial"/>
          <w:sz w:val="18"/>
          <w:szCs w:val="18"/>
          <w:color w:val="231F20"/>
        </w:rPr>
        <w:t xml:space="preserve">The Amended Loan Agreement contains customary conditions to borrowings, events of default and covenants, including covenants that restrict our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w:t>
      </w:r>
      <w:r>
        <w:rPr>
          <w:rFonts w:ascii="Arial" w:cs="Arial" w:eastAsia="Arial" w:hAnsi="Arial"/>
          <w:sz w:val="18"/>
          <w:szCs w:val="18"/>
          <w:color w:val="000000"/>
        </w:rPr>
        <w:t>The Amended Loan Agreement also requires that we maintain compliance with a minimum Fixed</w:t>
      </w:r>
      <w:r>
        <w:rPr>
          <w:rFonts w:ascii="Arial" w:cs="Arial" w:eastAsia="Arial" w:hAnsi="Arial"/>
          <w:sz w:val="18"/>
          <w:szCs w:val="18"/>
          <w:color w:val="231F20"/>
        </w:rPr>
        <w:t xml:space="preserve"> </w:t>
      </w:r>
      <w:r>
        <w:rPr>
          <w:rFonts w:ascii="Arial" w:cs="Arial" w:eastAsia="Arial" w:hAnsi="Arial"/>
          <w:sz w:val="18"/>
          <w:szCs w:val="18"/>
          <w:color w:val="000000"/>
        </w:rPr>
        <w:t>Charge Coverage Ratio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ind w:left="46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 xml:space="preserve">(as defined in the Amended Loan Agreement) of 1.40 to 1.00 at any time undrawn availability is less than 25%. </w:t>
      </w:r>
      <w:r>
        <w:rPr>
          <w:rFonts w:ascii="Arial" w:cs="Arial" w:eastAsia="Arial" w:hAnsi="Arial"/>
          <w:sz w:val="18"/>
          <w:szCs w:val="18"/>
          <w:color w:val="231F20"/>
        </w:rPr>
        <w:t>As of June 30, 2023, we were in compliance</w:t>
      </w:r>
      <w:r>
        <w:rPr>
          <w:rFonts w:ascii="Arial" w:cs="Arial" w:eastAsia="Arial" w:hAnsi="Arial"/>
          <w:sz w:val="18"/>
          <w:szCs w:val="18"/>
          <w:color w:val="auto"/>
        </w:rPr>
        <w:t xml:space="preserve"> </w:t>
      </w:r>
      <w:r>
        <w:rPr>
          <w:rFonts w:ascii="Arial" w:cs="Arial" w:eastAsia="Arial" w:hAnsi="Arial"/>
          <w:sz w:val="18"/>
          <w:szCs w:val="18"/>
          <w:color w:val="231F20"/>
        </w:rPr>
        <w:t>with all covenants as part of the Amended Loan Agreement.</w:t>
      </w:r>
    </w:p>
    <w:p>
      <w:pPr>
        <w:spacing w:after="0" w:line="74" w:lineRule="exact"/>
        <w:rPr>
          <w:sz w:val="20"/>
          <w:szCs w:val="20"/>
          <w:color w:val="auto"/>
        </w:rPr>
      </w:pPr>
    </w:p>
    <w:p>
      <w:pPr>
        <w:ind w:firstLine="479"/>
        <w:spacing w:after="0" w:line="250" w:lineRule="auto"/>
        <w:rPr>
          <w:sz w:val="20"/>
          <w:szCs w:val="20"/>
          <w:color w:val="auto"/>
        </w:rPr>
      </w:pPr>
      <w:r>
        <w:rPr>
          <w:rFonts w:ascii="Arial" w:cs="Arial" w:eastAsia="Arial" w:hAnsi="Arial"/>
          <w:sz w:val="18"/>
          <w:szCs w:val="18"/>
          <w:color w:val="231F20"/>
        </w:rPr>
        <w:t>Prior to the Amended Loan Agreement, advances under the Loan Agreement bore interest through maturity at a variable rate based upon our selection of either a Domestic Rate Loan or a LIBOR Rate Loan. For Domestic Rate Loans, borrowings bore interest at the Alternate Base Rate plus an applicable margin. The Alternate Base Rate was defined as a fluctuating interest rate equal to the greater of (1) the base commercial lending rate of PNC Bank, (2) the overnight federal funds rate plus 0.50% and (3) the Daily LIBOR Rate plus 1.00%. For LIBOR Rate Loans, borrowings bore interest at the LIBOR Rate (as defined in the Loan Agreement) plus an applicable margin. The applicable margin was between 0.75% to 1.25% for Domestic Rate Loans and between 1.75% and 2.25% for LIBOR Rate Loans based on maintaining certain undrawn availability ratios. The facility fee for undrawn amounts under the Loan Agreement was 0.375% per annum.</w:t>
      </w:r>
    </w:p>
    <w:p>
      <w:pPr>
        <w:spacing w:after="0" w:line="305" w:lineRule="exact"/>
        <w:rPr>
          <w:sz w:val="20"/>
          <w:szCs w:val="20"/>
          <w:color w:val="auto"/>
        </w:rPr>
      </w:pPr>
    </w:p>
    <w:p>
      <w:pPr>
        <w:ind w:left="220" w:hanging="214"/>
        <w:spacing w:after="0"/>
        <w:tabs>
          <w:tab w:leader="none" w:pos="220" w:val="left"/>
        </w:tabs>
        <w:numPr>
          <w:ilvl w:val="0"/>
          <w:numId w:val="14"/>
        </w:numPr>
        <w:rPr>
          <w:rFonts w:ascii="Arial" w:cs="Arial" w:eastAsia="Arial" w:hAnsi="Arial"/>
          <w:sz w:val="21"/>
          <w:szCs w:val="21"/>
          <w:b w:val="1"/>
          <w:bCs w:val="1"/>
          <w:color w:val="231F20"/>
        </w:rPr>
      </w:pPr>
      <w:r>
        <w:rPr>
          <w:rFonts w:ascii="Arial" w:cs="Arial" w:eastAsia="Arial" w:hAnsi="Arial"/>
          <w:sz w:val="21"/>
          <w:szCs w:val="21"/>
          <w:b w:val="1"/>
          <w:bCs w:val="1"/>
          <w:i w:val="1"/>
          <w:iCs w:val="1"/>
          <w:color w:val="231F20"/>
        </w:rPr>
        <w:t>Stock-Based Compensation</w:t>
      </w:r>
    </w:p>
    <w:p>
      <w:pPr>
        <w:spacing w:after="0" w:line="114" w:lineRule="exact"/>
        <w:rPr>
          <w:sz w:val="20"/>
          <w:szCs w:val="20"/>
          <w:color w:val="auto"/>
        </w:rPr>
      </w:pPr>
    </w:p>
    <w:p>
      <w:pPr>
        <w:ind w:firstLine="479"/>
        <w:spacing w:after="0" w:line="295" w:lineRule="auto"/>
        <w:rPr>
          <w:sz w:val="20"/>
          <w:szCs w:val="20"/>
          <w:color w:val="auto"/>
        </w:rPr>
      </w:pPr>
      <w:r>
        <w:rPr>
          <w:rFonts w:ascii="Arial" w:cs="Arial" w:eastAsia="Arial" w:hAnsi="Arial"/>
          <w:sz w:val="16"/>
          <w:szCs w:val="16"/>
          <w:color w:val="231F20"/>
        </w:rPr>
        <w:t xml:space="preserve">In connection with the IPO, which occurred on February 12, 2021, the Phantom Unit Plan was replaced by the LTIP. On February 12, 2021, 6.2 million restricted stock units (“RSUs”) were granted under the LTIP. The Company is authorized to grant RSUs, incentive stock options, nonqualified stock options, stock appreciation rights, restricted stock awards, and performance stock awards under its LTIP. As of </w:t>
      </w:r>
      <w:r>
        <w:rPr>
          <w:rFonts w:ascii="Arial" w:cs="Arial" w:eastAsia="Arial" w:hAnsi="Arial"/>
          <w:sz w:val="16"/>
          <w:szCs w:val="16"/>
          <w:color w:val="000000"/>
        </w:rPr>
        <w:t>June 30, 2023</w:t>
      </w:r>
      <w:r>
        <w:rPr>
          <w:rFonts w:ascii="Arial" w:cs="Arial" w:eastAsia="Arial" w:hAnsi="Arial"/>
          <w:sz w:val="16"/>
          <w:szCs w:val="16"/>
          <w:color w:val="231F20"/>
        </w:rPr>
        <w:t xml:space="preserve">, the Company had only granted RSUs and nonqualified stock options under the LTIP. Under the LTIP, 4.4 million shares of Class A common stock remained available for grant as of </w:t>
      </w:r>
      <w:r>
        <w:rPr>
          <w:rFonts w:ascii="Arial" w:cs="Arial" w:eastAsia="Arial" w:hAnsi="Arial"/>
          <w:sz w:val="16"/>
          <w:szCs w:val="16"/>
          <w:color w:val="000000"/>
        </w:rPr>
        <w:t>June 30, 2023</w:t>
      </w:r>
      <w:r>
        <w:rPr>
          <w:rFonts w:ascii="Arial" w:cs="Arial" w:eastAsia="Arial" w:hAnsi="Arial"/>
          <w:sz w:val="16"/>
          <w:szCs w:val="16"/>
          <w:color w:val="231F20"/>
        </w:rPr>
        <w:t>.</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Stock-based compensation recorded in the condensed consolidated statements of operations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320" w:type="dxa"/>
            <w:vAlign w:val="bottom"/>
            <w:gridSpan w:val="4"/>
          </w:tcPr>
          <w:p>
            <w:pPr>
              <w:jc w:val="right"/>
              <w:ind w:right="11"/>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gridSpan w:val="6"/>
          </w:tcPr>
          <w:p>
            <w:pPr>
              <w:jc w:val="right"/>
              <w:ind w:right="63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1"/>
        </w:trPr>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33"/>
        </w:trPr>
        <w:tc>
          <w:tcPr>
            <w:tcW w:w="720" w:type="dxa"/>
            <w:vAlign w:val="bottom"/>
          </w:tcPr>
          <w:p>
            <w:pPr>
              <w:spacing w:after="0"/>
              <w:rPr>
                <w:sz w:val="20"/>
                <w:szCs w:val="20"/>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Platform operations</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1,124</w:t>
            </w:r>
          </w:p>
        </w:tc>
        <w:tc>
          <w:tcPr>
            <w:tcW w:w="960" w:type="dxa"/>
            <w:vAlign w:val="bottom"/>
            <w:gridSpan w:val="2"/>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2,520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2,426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3,378</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2,614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53"/>
        </w:trPr>
        <w:tc>
          <w:tcPr>
            <w:tcW w:w="7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8,529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7,768</w:t>
            </w: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14,144</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231F20"/>
              </w:rPr>
              <w:t>RSUs</w:t>
            </w: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30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300" w:type="dxa"/>
            <w:vAlign w:val="bottom"/>
            <w:gridSpan w:val="2"/>
          </w:tcPr>
          <w:p>
            <w:pPr>
              <w:ind w:left="480"/>
              <w:spacing w:after="0"/>
              <w:rPr>
                <w:sz w:val="20"/>
                <w:szCs w:val="20"/>
                <w:color w:val="auto"/>
              </w:rPr>
            </w:pPr>
            <w:r>
              <w:rPr>
                <w:rFonts w:ascii="Arial" w:cs="Arial" w:eastAsia="Arial" w:hAnsi="Arial"/>
                <w:sz w:val="18"/>
                <w:szCs w:val="18"/>
                <w:color w:val="231F20"/>
              </w:rPr>
              <w:t>The following summarizes RSU activity:</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center"/>
              <w:ind w:right="231"/>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8"/>
        </w:trPr>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40"/>
              <w:spacing w:after="0" w:line="178" w:lineRule="exact"/>
              <w:rPr>
                <w:sz w:val="20"/>
                <w:szCs w:val="20"/>
                <w:color w:val="auto"/>
              </w:rPr>
            </w:pPr>
            <w:r>
              <w:rPr>
                <w:rFonts w:ascii="Arial" w:cs="Arial" w:eastAsia="Arial" w:hAnsi="Arial"/>
                <w:sz w:val="18"/>
                <w:szCs w:val="18"/>
                <w:b w:val="1"/>
                <w:bCs w:val="1"/>
                <w:color w:val="auto"/>
                <w:w w:val="91"/>
              </w:rPr>
              <w:t>Number of</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231"/>
              <w:spacing w:after="0" w:line="178"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40"/>
              <w:spacing w:after="0" w:line="173" w:lineRule="exact"/>
              <w:rPr>
                <w:sz w:val="20"/>
                <w:szCs w:val="20"/>
                <w:color w:val="auto"/>
              </w:rPr>
            </w:pPr>
            <w:r>
              <w:rPr>
                <w:rFonts w:ascii="Arial" w:cs="Arial" w:eastAsia="Arial" w:hAnsi="Arial"/>
                <w:sz w:val="18"/>
                <w:szCs w:val="18"/>
                <w:b w:val="1"/>
                <w:bCs w:val="1"/>
                <w:color w:val="auto"/>
                <w:w w:val="83"/>
              </w:rPr>
              <w:t>Shares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2"/>
          </w:tcPr>
          <w:p>
            <w:pPr>
              <w:jc w:val="center"/>
              <w:spacing w:after="0" w:line="173" w:lineRule="exact"/>
              <w:rPr>
                <w:sz w:val="20"/>
                <w:szCs w:val="20"/>
                <w:color w:val="auto"/>
              </w:rPr>
            </w:pPr>
            <w:r>
              <w:rPr>
                <w:rFonts w:ascii="Arial" w:cs="Arial" w:eastAsia="Arial" w:hAnsi="Arial"/>
                <w:sz w:val="18"/>
                <w:szCs w:val="18"/>
                <w:b w:val="1"/>
                <w:bCs w:val="1"/>
                <w:color w:val="auto"/>
                <w:w w:val="95"/>
              </w:rPr>
              <w:t>Grant Date Fair</w:t>
            </w: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outstanding as of December 31, 2022</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Granted</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Canceled/forfeited</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45"/>
        </w:trPr>
        <w:tc>
          <w:tcPr>
            <w:tcW w:w="72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 outstanding as of March 31, 2023</w:t>
            </w:r>
          </w:p>
        </w:tc>
        <w:tc>
          <w:tcPr>
            <w:tcW w:w="8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Granted</w:t>
            </w:r>
          </w:p>
        </w:tc>
        <w:tc>
          <w:tcPr>
            <w:tcW w:w="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line="20" w:lineRule="exact"/>
              <w:rPr>
                <w:sz w:val="1"/>
                <w:szCs w:val="1"/>
                <w:color w:val="auto"/>
              </w:rPr>
            </w:pPr>
          </w:p>
        </w:tc>
      </w:tr>
      <w:tr>
        <w:trPr>
          <w:trHeight w:val="206"/>
        </w:trPr>
        <w:tc>
          <w:tcPr>
            <w:tcW w:w="720" w:type="dxa"/>
            <w:vAlign w:val="bottom"/>
          </w:tcPr>
          <w:p>
            <w:pPr>
              <w:spacing w:after="0"/>
              <w:rPr>
                <w:sz w:val="17"/>
                <w:szCs w:val="17"/>
                <w:color w:val="auto"/>
              </w:rPr>
            </w:pPr>
          </w:p>
        </w:tc>
        <w:tc>
          <w:tcPr>
            <w:tcW w:w="458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6" w:lineRule="exact"/>
              <w:rPr>
                <w:sz w:val="20"/>
                <w:szCs w:val="20"/>
                <w:color w:val="auto"/>
              </w:rPr>
            </w:pPr>
            <w:r>
              <w:rPr>
                <w:rFonts w:ascii="Arial" w:cs="Arial" w:eastAsia="Arial" w:hAnsi="Arial"/>
                <w:sz w:val="18"/>
                <w:szCs w:val="18"/>
                <w:color w:val="auto"/>
              </w:rPr>
              <w:t>221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Canceled/forfeited</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58"/>
        </w:trPr>
        <w:tc>
          <w:tcPr>
            <w:tcW w:w="7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 outstanding as of June 30, 2023</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right="20" w:firstLine="479"/>
        <w:spacing w:after="0" w:line="266" w:lineRule="auto"/>
        <w:rPr>
          <w:sz w:val="20"/>
          <w:szCs w:val="20"/>
          <w:color w:val="auto"/>
        </w:rPr>
      </w:pPr>
      <w:r>
        <w:rPr>
          <w:rFonts w:ascii="Arial" w:cs="Arial" w:eastAsia="Arial" w:hAnsi="Arial"/>
          <w:sz w:val="18"/>
          <w:szCs w:val="18"/>
          <w:color w:val="auto"/>
        </w:rPr>
        <w:t>As of June 30, 2023, the Company had unrecognized stock-based compensation relating to RSUs of approximately $31.3 million, which is expected to be recognized over a weighted-average period of 2.1 years.</w:t>
      </w:r>
    </w:p>
    <w:p>
      <w:pPr>
        <w:spacing w:after="0" w:line="39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jc w:val="center"/>
        <w:ind w:left="46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Nonqualified Stock Options</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5240" w:type="dxa"/>
            <w:vAlign w:val="bottom"/>
            <w:gridSpan w:val="2"/>
          </w:tcPr>
          <w:p>
            <w:pPr>
              <w:ind w:left="480"/>
              <w:spacing w:after="0"/>
              <w:rPr>
                <w:sz w:val="20"/>
                <w:szCs w:val="20"/>
                <w:color w:val="auto"/>
              </w:rPr>
            </w:pPr>
            <w:r>
              <w:rPr>
                <w:rFonts w:ascii="Arial" w:cs="Arial" w:eastAsia="Arial" w:hAnsi="Arial"/>
                <w:sz w:val="18"/>
                <w:szCs w:val="18"/>
                <w:color w:val="auto"/>
                <w:w w:val="99"/>
              </w:rPr>
              <w:t>The following summarizes nonqualified stock option activity:</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center"/>
              <w:ind w:right="71"/>
              <w:spacing w:after="0"/>
              <w:rPr>
                <w:sz w:val="20"/>
                <w:szCs w:val="20"/>
                <w:color w:val="auto"/>
              </w:rPr>
            </w:pPr>
            <w:r>
              <w:rPr>
                <w:rFonts w:ascii="Arial" w:cs="Arial" w:eastAsia="Arial" w:hAnsi="Arial"/>
                <w:sz w:val="18"/>
                <w:szCs w:val="18"/>
                <w:b w:val="1"/>
                <w:bCs w:val="1"/>
                <w:color w:val="auto"/>
                <w:w w:val="89"/>
              </w:rPr>
              <w:t>Weighted-</w:t>
            </w:r>
          </w:p>
        </w:tc>
        <w:tc>
          <w:tcPr>
            <w:tcW w:w="80" w:type="dxa"/>
            <w:vAlign w:val="bottom"/>
          </w:tcPr>
          <w:p>
            <w:pPr>
              <w:spacing w:after="0"/>
              <w:rPr>
                <w:sz w:val="15"/>
                <w:szCs w:val="15"/>
                <w:color w:val="auto"/>
              </w:rPr>
            </w:pPr>
          </w:p>
        </w:tc>
        <w:tc>
          <w:tcPr>
            <w:tcW w:w="136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center"/>
              <w:ind w:right="51"/>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3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88"/>
              </w:rPr>
              <w:t>Options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51"/>
              <w:spacing w:after="0" w:line="182" w:lineRule="exact"/>
              <w:rPr>
                <w:sz w:val="20"/>
                <w:szCs w:val="20"/>
                <w:color w:val="auto"/>
              </w:rPr>
            </w:pPr>
            <w:r>
              <w:rPr>
                <w:rFonts w:ascii="Arial" w:cs="Arial" w:eastAsia="Arial" w:hAnsi="Arial"/>
                <w:sz w:val="18"/>
                <w:szCs w:val="18"/>
                <w:b w:val="1"/>
                <w:bCs w:val="1"/>
                <w:color w:val="auto"/>
                <w:w w:val="84"/>
              </w:rPr>
              <w:t>Average</w:t>
            </w:r>
          </w:p>
        </w:tc>
        <w:tc>
          <w:tcPr>
            <w:tcW w:w="80" w:type="dxa"/>
            <w:vAlign w:val="bottom"/>
          </w:tcPr>
          <w:p>
            <w:pPr>
              <w:spacing w:after="0"/>
              <w:rPr>
                <w:sz w:val="15"/>
                <w:szCs w:val="15"/>
                <w:color w:val="auto"/>
              </w:rPr>
            </w:pPr>
          </w:p>
        </w:tc>
        <w:tc>
          <w:tcPr>
            <w:tcW w:w="13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0"/>
              </w:rPr>
              <w:t>Term</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31"/>
              <w:spacing w:after="0" w:line="182" w:lineRule="exact"/>
              <w:rPr>
                <w:sz w:val="20"/>
                <w:szCs w:val="20"/>
                <w:color w:val="auto"/>
              </w:rPr>
            </w:pPr>
            <w:r>
              <w:rPr>
                <w:rFonts w:ascii="Arial" w:cs="Arial" w:eastAsia="Arial" w:hAnsi="Arial"/>
                <w:sz w:val="18"/>
                <w:szCs w:val="18"/>
                <w:b w:val="1"/>
                <w:bCs w:val="1"/>
                <w:color w:val="auto"/>
                <w:w w:val="90"/>
              </w:rPr>
              <w:t>Intrinsic Value</w:t>
            </w:r>
          </w:p>
        </w:tc>
        <w:tc>
          <w:tcPr>
            <w:tcW w:w="0" w:type="dxa"/>
            <w:vAlign w:val="bottom"/>
          </w:tcPr>
          <w:p>
            <w:pPr>
              <w:spacing w:after="0"/>
              <w:rPr>
                <w:sz w:val="1"/>
                <w:szCs w:val="1"/>
                <w:color w:val="auto"/>
              </w:rPr>
            </w:pPr>
          </w:p>
        </w:tc>
      </w:tr>
      <w:tr>
        <w:trPr>
          <w:trHeight w:val="231"/>
        </w:trPr>
        <w:tc>
          <w:tcPr>
            <w:tcW w:w="720" w:type="dxa"/>
            <w:vAlign w:val="bottom"/>
          </w:tcPr>
          <w:p>
            <w:pPr>
              <w:spacing w:after="0"/>
              <w:rPr>
                <w:sz w:val="20"/>
                <w:szCs w:val="20"/>
                <w:color w:val="auto"/>
              </w:rPr>
            </w:pPr>
          </w:p>
        </w:tc>
        <w:tc>
          <w:tcPr>
            <w:tcW w:w="45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Exercise Price</w:t>
            </w: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2,127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Canceled</w:t>
            </w: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10.35</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Outstanding as of March 31, 2023</w:t>
            </w:r>
          </w:p>
        </w:tc>
        <w:tc>
          <w:tcPr>
            <w:tcW w:w="1360" w:type="dxa"/>
            <w:vAlign w:val="bottom"/>
          </w:tcPr>
          <w:p>
            <w:pPr>
              <w:jc w:val="right"/>
              <w:spacing w:after="0"/>
              <w:rPr>
                <w:sz w:val="20"/>
                <w:szCs w:val="20"/>
                <w:color w:val="auto"/>
              </w:rPr>
            </w:pPr>
            <w:r>
              <w:rPr>
                <w:rFonts w:ascii="Arial" w:cs="Arial" w:eastAsia="Arial" w:hAnsi="Arial"/>
                <w:sz w:val="18"/>
                <w:szCs w:val="18"/>
                <w:color w:val="auto"/>
              </w:rPr>
              <w:t>5,755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Expired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32.93</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exercisable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00" w:firstLine="479"/>
        <w:spacing w:after="0" w:line="279" w:lineRule="auto"/>
        <w:rPr>
          <w:sz w:val="20"/>
          <w:szCs w:val="20"/>
          <w:color w:val="auto"/>
        </w:rPr>
      </w:pPr>
      <w:r>
        <w:rPr>
          <w:rFonts w:ascii="Arial" w:cs="Arial" w:eastAsia="Arial" w:hAnsi="Arial"/>
          <w:sz w:val="17"/>
          <w:szCs w:val="17"/>
          <w:color w:val="auto"/>
        </w:rPr>
        <w:t>The weighted-average grant date fair value of the nonqualified stock options granted during the three and six months ended June 30, 2023 was $2.97 and $2.99, respectively. The Company had unrecognized stock-based compensation relating to unvested nonqualified stock options of approximately $14.4 million, which is expected to be recognized over a weighted-average period of 2.3 years, as of June 30, 2023.</w:t>
      </w:r>
    </w:p>
    <w:p>
      <w:pPr>
        <w:spacing w:after="0" w:line="64" w:lineRule="exact"/>
        <w:rPr>
          <w:sz w:val="20"/>
          <w:szCs w:val="20"/>
          <w:color w:val="auto"/>
        </w:rPr>
      </w:pPr>
    </w:p>
    <w:p>
      <w:pPr>
        <w:ind w:right="120" w:firstLine="479"/>
        <w:spacing w:after="0" w:line="266" w:lineRule="auto"/>
        <w:rPr>
          <w:sz w:val="20"/>
          <w:szCs w:val="20"/>
          <w:color w:val="auto"/>
        </w:rPr>
      </w:pPr>
      <w:r>
        <w:rPr>
          <w:rFonts w:ascii="Arial" w:cs="Arial" w:eastAsia="Arial" w:hAnsi="Arial"/>
          <w:sz w:val="18"/>
          <w:szCs w:val="18"/>
          <w:color w:val="231F20"/>
        </w:rPr>
        <w:t>The following table presents the assumptions used in the Black-Scholes model to determine the fair value of nonqualified stock options for the three and six months ended June 30, 2023 and 2022.</w:t>
      </w:r>
    </w:p>
    <w:p>
      <w:pPr>
        <w:spacing w:after="0" w:line="94" w:lineRule="exact"/>
        <w:rPr>
          <w:sz w:val="20"/>
          <w:szCs w:val="20"/>
          <w:color w:val="auto"/>
        </w:rPr>
      </w:pPr>
    </w:p>
    <w:p>
      <w:pPr>
        <w:jc w:val="center"/>
        <w:ind w:left="7940"/>
        <w:spacing w:after="0"/>
        <w:rPr>
          <w:sz w:val="20"/>
          <w:szCs w:val="20"/>
          <w:color w:val="auto"/>
        </w:rPr>
      </w:pPr>
      <w:r>
        <w:rPr>
          <w:rFonts w:ascii="Arial" w:cs="Arial" w:eastAsia="Arial" w:hAnsi="Arial"/>
          <w:sz w:val="18"/>
          <w:szCs w:val="18"/>
          <w:b w:val="1"/>
          <w:bCs w:val="1"/>
          <w:color w:val="auto"/>
        </w:rPr>
        <w:t>Three and Six Months Ended</w:t>
      </w:r>
    </w:p>
    <w:p>
      <w:pPr>
        <w:jc w:val="center"/>
        <w:ind w:left="7940"/>
        <w:spacing w:after="0"/>
        <w:rPr>
          <w:sz w:val="20"/>
          <w:szCs w:val="20"/>
          <w:color w:val="auto"/>
        </w:rPr>
      </w:pPr>
      <w:r>
        <w:rPr>
          <w:rFonts w:ascii="Arial" w:cs="Arial" w:eastAsia="Arial" w:hAnsi="Arial"/>
          <w:sz w:val="18"/>
          <w:szCs w:val="18"/>
          <w:b w:val="1"/>
          <w:bCs w:val="1"/>
          <w:color w:val="auto"/>
        </w:rPr>
        <w:t>June 30,</w:t>
      </w:r>
    </w:p>
    <w:p>
      <w:pPr>
        <w:spacing w:after="0" w:line="3"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7460" w:type="dxa"/>
            <w:vAlign w:val="bottom"/>
            <w:tcBorders>
              <w:bottom w:val="single" w:sz="8" w:color="CCEEFF"/>
            </w:tcBorders>
          </w:tcPr>
          <w:p>
            <w:pPr>
              <w:spacing w:after="0"/>
              <w:rPr>
                <w:sz w:val="20"/>
                <w:szCs w:val="20"/>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2023</w:t>
            </w:r>
          </w:p>
        </w:tc>
        <w:tc>
          <w:tcPr>
            <w:tcW w:w="80" w:type="dxa"/>
            <w:vAlign w:val="bottom"/>
            <w:tcBorders>
              <w:top w:val="single" w:sz="8" w:color="auto"/>
              <w:bottom w:val="single" w:sz="8" w:color="CCEEFF"/>
            </w:tcBorders>
          </w:tcPr>
          <w:p>
            <w:pPr>
              <w:spacing w:after="0"/>
              <w:rPr>
                <w:sz w:val="20"/>
                <w:szCs w:val="20"/>
                <w:color w:val="auto"/>
              </w:rPr>
            </w:pPr>
          </w:p>
        </w:tc>
        <w:tc>
          <w:tcPr>
            <w:tcW w:w="1460" w:type="dxa"/>
            <w:vAlign w:val="bottom"/>
            <w:tcBorders>
              <w:top w:val="single" w:sz="8" w:color="auto"/>
              <w:bottom w:val="single" w:sz="8" w:color="auto"/>
            </w:tcBorders>
            <w:gridSpan w:val="2"/>
          </w:tcPr>
          <w:p>
            <w:pPr>
              <w:jc w:val="right"/>
              <w:ind w:right="471"/>
              <w:spacing w:after="0"/>
              <w:rPr>
                <w:sz w:val="20"/>
                <w:szCs w:val="20"/>
                <w:color w:val="auto"/>
              </w:rPr>
            </w:pPr>
            <w:r>
              <w:rPr>
                <w:rFonts w:ascii="Arial" w:cs="Arial" w:eastAsia="Arial" w:hAnsi="Arial"/>
                <w:sz w:val="18"/>
                <w:szCs w:val="18"/>
                <w:b w:val="1"/>
                <w:bCs w:val="1"/>
                <w:color w:val="auto"/>
              </w:rPr>
              <w:t>2022</w:t>
            </w:r>
          </w:p>
        </w:tc>
      </w:tr>
      <w:tr>
        <w:trPr>
          <w:trHeight w:val="222"/>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w:t>
            </w:r>
          </w:p>
        </w:tc>
      </w:tr>
      <w:tr>
        <w:trPr>
          <w:trHeight w:val="226"/>
        </w:trPr>
        <w:tc>
          <w:tcPr>
            <w:tcW w:w="74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81.5%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780" w:type="dxa"/>
            <w:vAlign w:val="bottom"/>
          </w:tcPr>
          <w:p>
            <w:pPr>
              <w:ind w:left="20"/>
              <w:spacing w:after="0"/>
              <w:rPr>
                <w:sz w:val="20"/>
                <w:szCs w:val="20"/>
                <w:color w:val="auto"/>
              </w:rPr>
            </w:pPr>
            <w:r>
              <w:rPr>
                <w:rFonts w:ascii="Arial" w:cs="Arial" w:eastAsia="Arial" w:hAnsi="Arial"/>
                <w:sz w:val="18"/>
                <w:szCs w:val="18"/>
                <w:color w:val="auto"/>
              </w:rPr>
              <w:t>- 62.7%</w:t>
            </w:r>
          </w:p>
        </w:tc>
      </w:tr>
      <w:tr>
        <w:trPr>
          <w:trHeight w:val="24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540" w:type="dxa"/>
            <w:vAlign w:val="bottom"/>
            <w:gridSpan w:val="3"/>
          </w:tcPr>
          <w:p>
            <w:pPr>
              <w:jc w:val="right"/>
              <w:ind w:right="451"/>
              <w:spacing w:after="0"/>
              <w:rPr>
                <w:sz w:val="20"/>
                <w:szCs w:val="20"/>
                <w:color w:val="auto"/>
              </w:rPr>
            </w:pPr>
            <w:r>
              <w:rPr>
                <w:rFonts w:ascii="Arial" w:cs="Arial" w:eastAsia="Arial" w:hAnsi="Arial"/>
                <w:sz w:val="18"/>
                <w:szCs w:val="18"/>
                <w:color w:val="auto"/>
              </w:rPr>
              <w:t>0.0%</w:t>
            </w:r>
          </w:p>
        </w:tc>
      </w:tr>
    </w:tbl>
    <w:p>
      <w:pPr>
        <w:spacing w:after="0" w:line="189" w:lineRule="exact"/>
        <w:rPr>
          <w:sz w:val="20"/>
          <w:szCs w:val="20"/>
          <w:color w:val="auto"/>
        </w:rPr>
      </w:pPr>
    </w:p>
    <w:p>
      <w:pPr>
        <w:ind w:right="360" w:firstLine="479"/>
        <w:spacing w:after="0" w:line="266" w:lineRule="auto"/>
        <w:rPr>
          <w:sz w:val="20"/>
          <w:szCs w:val="20"/>
          <w:color w:val="auto"/>
        </w:rPr>
      </w:pPr>
      <w:r>
        <w:rPr>
          <w:rFonts w:ascii="Arial" w:cs="Arial" w:eastAsia="Arial" w:hAnsi="Arial"/>
          <w:sz w:val="18"/>
          <w:szCs w:val="18"/>
          <w:i w:val="1"/>
          <w:iCs w:val="1"/>
          <w:color w:val="231F20"/>
        </w:rPr>
        <w:t xml:space="preserve">Risk-Free Interest Rate. </w:t>
      </w:r>
      <w:r>
        <w:rPr>
          <w:rFonts w:ascii="Arial" w:cs="Arial" w:eastAsia="Arial" w:hAnsi="Arial"/>
          <w:sz w:val="18"/>
          <w:szCs w:val="18"/>
          <w:color w:val="231F20"/>
        </w:rPr>
        <w:t>The Company bases the risk-free interest rate assumption for equity awards on the rates for U.S. Treasury securities with</w:t>
      </w:r>
      <w:r>
        <w:rPr>
          <w:rFonts w:ascii="Arial" w:cs="Arial" w:eastAsia="Arial" w:hAnsi="Arial"/>
          <w:sz w:val="18"/>
          <w:szCs w:val="18"/>
          <w:i w:val="1"/>
          <w:iCs w:val="1"/>
          <w:color w:val="231F20"/>
        </w:rPr>
        <w:t xml:space="preserve"> </w:t>
      </w:r>
      <w:r>
        <w:rPr>
          <w:rFonts w:ascii="Arial" w:cs="Arial" w:eastAsia="Arial" w:hAnsi="Arial"/>
          <w:sz w:val="18"/>
          <w:szCs w:val="18"/>
          <w:color w:val="231F20"/>
        </w:rPr>
        <w:t>maturities similar to those of the expected term of the award being valued.</w:t>
      </w:r>
    </w:p>
    <w:p>
      <w:pPr>
        <w:spacing w:after="0" w:line="74" w:lineRule="exact"/>
        <w:rPr>
          <w:sz w:val="20"/>
          <w:szCs w:val="20"/>
          <w:color w:val="auto"/>
        </w:rPr>
      </w:pPr>
    </w:p>
    <w:p>
      <w:pPr>
        <w:ind w:firstLine="479"/>
        <w:spacing w:after="0" w:line="256" w:lineRule="auto"/>
        <w:rPr>
          <w:sz w:val="20"/>
          <w:szCs w:val="20"/>
          <w:color w:val="auto"/>
        </w:rPr>
      </w:pPr>
      <w:r>
        <w:rPr>
          <w:rFonts w:ascii="Arial" w:cs="Arial" w:eastAsia="Arial" w:hAnsi="Arial"/>
          <w:sz w:val="18"/>
          <w:szCs w:val="18"/>
          <w:i w:val="1"/>
          <w:iCs w:val="1"/>
          <w:color w:val="231F20"/>
        </w:rPr>
        <w:t xml:space="preserve">Expected Volatility. </w:t>
      </w:r>
      <w:r>
        <w:rPr>
          <w:rFonts w:ascii="Arial" w:cs="Arial" w:eastAsia="Arial" w:hAnsi="Arial"/>
          <w:sz w:val="18"/>
          <w:szCs w:val="18"/>
          <w:color w:val="231F20"/>
        </w:rPr>
        <w:t>Due to the limited trading history of the Company’s Class A common stock, the expected volatility assumption is based on</w:t>
      </w:r>
      <w:r>
        <w:rPr>
          <w:rFonts w:ascii="Arial" w:cs="Arial" w:eastAsia="Arial" w:hAnsi="Arial"/>
          <w:sz w:val="18"/>
          <w:szCs w:val="18"/>
          <w:i w:val="1"/>
          <w:iCs w:val="1"/>
          <w:color w:val="231F20"/>
        </w:rPr>
        <w:t xml:space="preserve"> </w:t>
      </w:r>
      <w:r>
        <w:rPr>
          <w:rFonts w:ascii="Arial" w:cs="Arial" w:eastAsia="Arial" w:hAnsi="Arial"/>
          <w:sz w:val="18"/>
          <w:szCs w:val="18"/>
          <w:color w:val="231F20"/>
        </w:rPr>
        <w:t>volatilities of a peer group of similar companies whose share prices are publicly available. The Company will continue to apply this process until a sufficient amount of historical information regarding the volatility of the Company’s own stock price becomes available.</w:t>
      </w:r>
    </w:p>
    <w:p>
      <w:pPr>
        <w:spacing w:after="0" w:line="83" w:lineRule="exact"/>
        <w:rPr>
          <w:sz w:val="20"/>
          <w:szCs w:val="20"/>
          <w:color w:val="auto"/>
        </w:rPr>
      </w:pPr>
    </w:p>
    <w:p>
      <w:pPr>
        <w:ind w:right="160" w:firstLine="479"/>
        <w:spacing w:after="0" w:line="279" w:lineRule="auto"/>
        <w:rPr>
          <w:sz w:val="20"/>
          <w:szCs w:val="20"/>
          <w:color w:val="auto"/>
        </w:rPr>
      </w:pPr>
      <w:r>
        <w:rPr>
          <w:rFonts w:ascii="Arial" w:cs="Arial" w:eastAsia="Arial" w:hAnsi="Arial"/>
          <w:sz w:val="17"/>
          <w:szCs w:val="17"/>
          <w:i w:val="1"/>
          <w:iCs w:val="1"/>
          <w:color w:val="231F20"/>
        </w:rPr>
        <w:t xml:space="preserve">Expected Term. </w:t>
      </w:r>
      <w:r>
        <w:rPr>
          <w:rFonts w:ascii="Arial" w:cs="Arial" w:eastAsia="Arial" w:hAnsi="Arial"/>
          <w:sz w:val="17"/>
          <w:szCs w:val="17"/>
          <w:color w:val="231F20"/>
        </w:rPr>
        <w:t>Given the insufficient historical data relating to nonqualified stock option exercises, the expected term assumption is based on</w:t>
      </w:r>
      <w:r>
        <w:rPr>
          <w:rFonts w:ascii="Arial" w:cs="Arial" w:eastAsia="Arial" w:hAnsi="Arial"/>
          <w:sz w:val="17"/>
          <w:szCs w:val="17"/>
          <w:i w:val="1"/>
          <w:iCs w:val="1"/>
          <w:color w:val="231F20"/>
        </w:rPr>
        <w:t xml:space="preserve"> </w:t>
      </w:r>
      <w:r>
        <w:rPr>
          <w:rFonts w:ascii="Arial" w:cs="Arial" w:eastAsia="Arial" w:hAnsi="Arial"/>
          <w:sz w:val="17"/>
          <w:szCs w:val="17"/>
          <w:color w:val="231F20"/>
        </w:rPr>
        <w:t>expected terms of a peer group of similar companies whose expected terms are publicly available. The Company will continue to apply this process until a sufficient amount of historical information regarding the Company’s nonqualified stock option exercises becomes available.</w:t>
      </w:r>
    </w:p>
    <w:p>
      <w:pPr>
        <w:spacing w:after="0" w:line="64" w:lineRule="exact"/>
        <w:rPr>
          <w:sz w:val="20"/>
          <w:szCs w:val="20"/>
          <w:color w:val="auto"/>
        </w:rPr>
      </w:pPr>
    </w:p>
    <w:p>
      <w:pPr>
        <w:ind w:right="20" w:firstLine="479"/>
        <w:spacing w:after="0" w:line="266" w:lineRule="auto"/>
        <w:rPr>
          <w:sz w:val="20"/>
          <w:szCs w:val="20"/>
          <w:color w:val="auto"/>
        </w:rPr>
      </w:pPr>
      <w:r>
        <w:rPr>
          <w:rFonts w:ascii="Arial" w:cs="Arial" w:eastAsia="Arial" w:hAnsi="Arial"/>
          <w:sz w:val="18"/>
          <w:szCs w:val="18"/>
          <w:i w:val="1"/>
          <w:iCs w:val="1"/>
          <w:color w:val="231F20"/>
        </w:rPr>
        <w:t xml:space="preserve">Expected Dividend Yield. </w:t>
      </w:r>
      <w:r>
        <w:rPr>
          <w:rFonts w:ascii="Arial" w:cs="Arial" w:eastAsia="Arial" w:hAnsi="Arial"/>
          <w:sz w:val="18"/>
          <w:szCs w:val="18"/>
          <w:color w:val="231F20"/>
        </w:rPr>
        <w:t>The Company’s expected dividend yield assumption is zero as it has never paid dividends and has no present intention to do</w:t>
      </w:r>
      <w:r>
        <w:rPr>
          <w:rFonts w:ascii="Arial" w:cs="Arial" w:eastAsia="Arial" w:hAnsi="Arial"/>
          <w:sz w:val="18"/>
          <w:szCs w:val="18"/>
          <w:i w:val="1"/>
          <w:iCs w:val="1"/>
          <w:color w:val="231F20"/>
        </w:rPr>
        <w:t xml:space="preserve"> </w:t>
      </w:r>
      <w:r>
        <w:rPr>
          <w:rFonts w:ascii="Arial" w:cs="Arial" w:eastAsia="Arial" w:hAnsi="Arial"/>
          <w:sz w:val="18"/>
          <w:szCs w:val="18"/>
          <w:color w:val="231F20"/>
        </w:rPr>
        <w:t>so in the future.</w:t>
      </w:r>
    </w:p>
    <w:p>
      <w:pPr>
        <w:spacing w:after="0" w:line="39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7" w:name="page18"/>
    <w:bookmarkEnd w:id="17"/>
    <w:p>
      <w:pPr>
        <w:jc w:val="center"/>
        <w:ind w:left="46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Shares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Upon vesting of shares under the LTIP, we will issue treasury stock. If treasury stock is not available, Class A common stock will be issued.</w:t>
      </w:r>
    </w:p>
    <w:p>
      <w:pPr>
        <w:spacing w:after="0" w:line="341" w:lineRule="exact"/>
        <w:rPr>
          <w:sz w:val="20"/>
          <w:szCs w:val="20"/>
          <w:color w:val="auto"/>
        </w:rPr>
      </w:pPr>
    </w:p>
    <w:p>
      <w:pPr>
        <w:ind w:left="320" w:hanging="314"/>
        <w:spacing w:after="0"/>
        <w:tabs>
          <w:tab w:leader="none" w:pos="320" w:val="left"/>
        </w:tabs>
        <w:numPr>
          <w:ilvl w:val="0"/>
          <w:numId w:val="15"/>
        </w:numPr>
        <w:rPr>
          <w:rFonts w:ascii="Arial" w:cs="Arial" w:eastAsia="Arial" w:hAnsi="Arial"/>
          <w:sz w:val="21"/>
          <w:szCs w:val="21"/>
          <w:b w:val="1"/>
          <w:bCs w:val="1"/>
          <w:color w:val="231F20"/>
        </w:rPr>
      </w:pPr>
      <w:r>
        <w:rPr>
          <w:rFonts w:ascii="Arial" w:cs="Arial" w:eastAsia="Arial" w:hAnsi="Arial"/>
          <w:sz w:val="21"/>
          <w:szCs w:val="21"/>
          <w:b w:val="1"/>
          <w:bCs w:val="1"/>
          <w:i w:val="1"/>
          <w:iCs w:val="1"/>
          <w:color w:val="231F20"/>
        </w:rPr>
        <w:t>Income Taxes and Tax Receivable Agreement</w:t>
      </w:r>
    </w:p>
    <w:p>
      <w:pPr>
        <w:spacing w:after="0" w:line="114" w:lineRule="exact"/>
        <w:rPr>
          <w:sz w:val="20"/>
          <w:szCs w:val="20"/>
          <w:color w:val="auto"/>
        </w:rPr>
      </w:pPr>
    </w:p>
    <w:p>
      <w:pPr>
        <w:ind w:right="20" w:firstLine="479"/>
        <w:spacing w:after="0" w:line="270" w:lineRule="auto"/>
        <w:rPr>
          <w:sz w:val="20"/>
          <w:szCs w:val="20"/>
          <w:color w:val="auto"/>
        </w:rPr>
      </w:pPr>
      <w:r>
        <w:rPr>
          <w:rFonts w:ascii="Arial" w:cs="Arial" w:eastAsia="Arial" w:hAnsi="Arial"/>
          <w:sz w:val="17"/>
          <w:szCs w:val="17"/>
          <w:color w:val="auto"/>
        </w:rPr>
        <w:t>The provision for income taxes differs from the amount of income tax computed by applying the applicable U.S. statutory federal income tax rate of 21% to income before provision of income taxes due to Viant Technology LLC’s pass-through structure for U.S. income tax purposes and the valuation allowance against the deferred tax asset in the current and prior-year periods. The Company did not recognize an income tax benefit (expense) on its share of pre-tax book income (loss), exclusive of the noncontrolling interest of 75.4% due to the full valuation allowance against its deferred tax assets, resulting in an effective tax rate of 0.0% for each of the three and six months ended June 30, 2023 and 2022.</w:t>
      </w:r>
    </w:p>
    <w:p>
      <w:pPr>
        <w:spacing w:after="0" w:line="72" w:lineRule="exact"/>
        <w:rPr>
          <w:sz w:val="20"/>
          <w:szCs w:val="20"/>
          <w:color w:val="auto"/>
        </w:rPr>
      </w:pPr>
    </w:p>
    <w:p>
      <w:pPr>
        <w:ind w:firstLine="479"/>
        <w:spacing w:after="0" w:line="290" w:lineRule="auto"/>
        <w:rPr>
          <w:sz w:val="20"/>
          <w:szCs w:val="20"/>
          <w:color w:val="auto"/>
        </w:rPr>
      </w:pPr>
      <w:r>
        <w:rPr>
          <w:rFonts w:ascii="Arial" w:cs="Arial" w:eastAsia="Arial" w:hAnsi="Arial"/>
          <w:sz w:val="16"/>
          <w:szCs w:val="16"/>
          <w:color w:val="auto"/>
        </w:rPr>
        <w:t>As of June 30, 2023, management determined based on applicable accounting standards and the weight of all available evidence, it was not more likely than not (“MLTN”) that the Company will generate sufficient taxable income to realize our deferred tax assets including the difference in our tax basis in excess of the financial reporting value for our investment in Viant Technology LLC. Consequently, we have established a full valuation allowance against our deferred tax assets as of June 30, 2023. In the event that management subsequently determines that it is MLTN that we will realize our deferred tax assets in the future over the recorded amount, a decrease to the valuation allowance will be made, which will reduce the provision for income taxes.</w:t>
      </w:r>
    </w:p>
    <w:p>
      <w:pPr>
        <w:spacing w:after="0" w:line="60" w:lineRule="exact"/>
        <w:rPr>
          <w:sz w:val="20"/>
          <w:szCs w:val="20"/>
          <w:color w:val="auto"/>
        </w:rPr>
      </w:pPr>
    </w:p>
    <w:p>
      <w:pPr>
        <w:ind w:firstLine="479"/>
        <w:spacing w:after="0" w:line="286" w:lineRule="auto"/>
        <w:rPr>
          <w:sz w:val="20"/>
          <w:szCs w:val="20"/>
          <w:color w:val="auto"/>
        </w:rPr>
      </w:pPr>
      <w:r>
        <w:rPr>
          <w:rFonts w:ascii="Arial" w:cs="Arial" w:eastAsia="Arial" w:hAnsi="Arial"/>
          <w:sz w:val="16"/>
          <w:szCs w:val="16"/>
          <w:color w:val="auto"/>
        </w:rPr>
        <w:t>The Company has concluded based on applicable accounting standards and the weight of all available evidence, that it was MLTN that its deferred tax assets subject to the Tax Receivable Agreement entered into with Viant Technology LLC, continuing members of Viant Technology LLC and the TRA Representative (as defined in the TRA) on February 9, 2021 (“TRA”) would not be realized as of June 30, 2023. Therefore, the Company has not recorded a liability related to the remaining tax savings it may realize from utilization of such deferred tax assets after concluding it was not probable that such TRA liability would be paid based on its estimates of future taxable income. As of June 30, 2023, the total unrecorded TRA liability is approximately $10.3 million. If utilization of the deferred tax assets subject to the TRA becomes MLTN in the future, the Company will record a liability related to the TRA, to the extent probable at that time, which will be recognized as an expense within its condensed consolidated statements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w:t>
      </w:r>
      <w:r>
        <w:rPr>
          <w:rFonts w:ascii="Arial" w:cs="Arial" w:eastAsia="Arial" w:hAnsi="Arial"/>
          <w:sz w:val="21"/>
          <w:szCs w:val="21"/>
          <w:b w:val="1"/>
          <w:bCs w:val="1"/>
          <w:color w:val="231F20"/>
        </w:rPr>
        <w:t>1.</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231F20"/>
        </w:rPr>
        <w:t>Loss Per Share</w:t>
      </w:r>
    </w:p>
    <w:p>
      <w:pPr>
        <w:spacing w:after="0" w:line="120" w:lineRule="exact"/>
        <w:rPr>
          <w:sz w:val="20"/>
          <w:szCs w:val="20"/>
          <w:color w:val="auto"/>
        </w:rPr>
      </w:pPr>
    </w:p>
    <w:p>
      <w:pPr>
        <w:ind w:firstLine="479"/>
        <w:spacing w:after="0" w:line="295" w:lineRule="auto"/>
        <w:rPr>
          <w:sz w:val="20"/>
          <w:szCs w:val="20"/>
          <w:color w:val="auto"/>
        </w:rPr>
      </w:pPr>
      <w:r>
        <w:rPr>
          <w:rFonts w:ascii="Arial" w:cs="Arial" w:eastAsia="Arial" w:hAnsi="Arial"/>
          <w:sz w:val="16"/>
          <w:szCs w:val="16"/>
          <w:color w:val="231F20"/>
        </w:rPr>
        <w:t xml:space="preserve">For the </w:t>
      </w:r>
      <w:r>
        <w:rPr>
          <w:rFonts w:ascii="Arial" w:cs="Arial" w:eastAsia="Arial" w:hAnsi="Arial"/>
          <w:sz w:val="16"/>
          <w:szCs w:val="16"/>
          <w:color w:val="000000"/>
        </w:rPr>
        <w:t>three and six</w:t>
      </w:r>
      <w:r>
        <w:rPr>
          <w:rFonts w:ascii="Arial" w:cs="Arial" w:eastAsia="Arial" w:hAnsi="Arial"/>
          <w:sz w:val="16"/>
          <w:szCs w:val="16"/>
          <w:color w:val="231F20"/>
        </w:rPr>
        <w:t xml:space="preserve"> months ended </w:t>
      </w:r>
      <w:r>
        <w:rPr>
          <w:rFonts w:ascii="Arial" w:cs="Arial" w:eastAsia="Arial" w:hAnsi="Arial"/>
          <w:sz w:val="16"/>
          <w:szCs w:val="16"/>
          <w:color w:val="000000"/>
        </w:rPr>
        <w:t>June 30, 2023</w:t>
      </w:r>
      <w:r>
        <w:rPr>
          <w:rFonts w:ascii="Arial" w:cs="Arial" w:eastAsia="Arial" w:hAnsi="Arial"/>
          <w:sz w:val="16"/>
          <w:szCs w:val="16"/>
          <w:color w:val="231F20"/>
        </w:rPr>
        <w:t xml:space="preserve"> and </w:t>
      </w:r>
      <w:r>
        <w:rPr>
          <w:rFonts w:ascii="Arial" w:cs="Arial" w:eastAsia="Arial" w:hAnsi="Arial"/>
          <w:sz w:val="16"/>
          <w:szCs w:val="16"/>
          <w:color w:val="000000"/>
        </w:rPr>
        <w:t>2022</w:t>
      </w:r>
      <w:r>
        <w:rPr>
          <w:rFonts w:ascii="Arial" w:cs="Arial" w:eastAsia="Arial" w:hAnsi="Arial"/>
          <w:sz w:val="16"/>
          <w:szCs w:val="16"/>
          <w:color w:val="231F20"/>
        </w:rPr>
        <w:t xml:space="preserve">, basic net loss per share has been calculated by dividing net loss attributable to Class A common stockholders by the weighted-average number of shares of Class A common stock outstanding for the same period. </w:t>
      </w:r>
      <w:r>
        <w:rPr>
          <w:rFonts w:ascii="Arial" w:cs="Arial" w:eastAsia="Arial" w:hAnsi="Arial"/>
          <w:sz w:val="16"/>
          <w:szCs w:val="16"/>
          <w:color w:val="000000"/>
        </w:rPr>
        <w:t>Shares</w:t>
      </w:r>
      <w:r>
        <w:rPr>
          <w:rFonts w:ascii="Arial" w:cs="Arial" w:eastAsia="Arial" w:hAnsi="Arial"/>
          <w:sz w:val="16"/>
          <w:szCs w:val="16"/>
          <w:color w:val="231F20"/>
        </w:rPr>
        <w:t xml:space="preserve"> of Class A common stock are weighted for the portion of the period in which the shares were outstanding. Diluted net loss per share has been calculated in a manner consistent with that of basic net loss per share while considering all potentially dilutive shares of Class A common stock outstanding during the period.</w:t>
      </w:r>
    </w:p>
    <w:p>
      <w:pPr>
        <w:spacing w:after="0" w:line="37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jc w:val="center"/>
        <w:ind w:left="46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80"/>
        <w:spacing w:after="0"/>
        <w:rPr>
          <w:sz w:val="20"/>
          <w:szCs w:val="20"/>
          <w:color w:val="auto"/>
        </w:rPr>
      </w:pPr>
      <w:r>
        <w:rPr>
          <w:rFonts w:ascii="Arial" w:cs="Arial" w:eastAsia="Arial" w:hAnsi="Arial"/>
          <w:sz w:val="16"/>
          <w:szCs w:val="16"/>
          <w:color w:val="231F20"/>
        </w:rPr>
        <w:t xml:space="preserve">The </w:t>
      </w:r>
      <w:r>
        <w:rPr>
          <w:rFonts w:ascii="Arial" w:cs="Arial" w:eastAsia="Arial" w:hAnsi="Arial"/>
          <w:sz w:val="16"/>
          <w:szCs w:val="16"/>
          <w:color w:val="000000"/>
        </w:rPr>
        <w:t>following</w:t>
      </w:r>
      <w:r>
        <w:rPr>
          <w:rFonts w:ascii="Arial" w:cs="Arial" w:eastAsia="Arial" w:hAnsi="Arial"/>
          <w:sz w:val="16"/>
          <w:szCs w:val="16"/>
          <w:color w:val="231F20"/>
        </w:rPr>
        <w:t xml:space="preserve"> table presents the calculation of basic and diluted net loss per share for the </w:t>
      </w:r>
      <w:r>
        <w:rPr>
          <w:rFonts w:ascii="Arial" w:cs="Arial" w:eastAsia="Arial" w:hAnsi="Arial"/>
          <w:sz w:val="16"/>
          <w:szCs w:val="16"/>
          <w:color w:val="000000"/>
        </w:rPr>
        <w:t>three and six</w:t>
      </w:r>
      <w:r>
        <w:rPr>
          <w:rFonts w:ascii="Arial" w:cs="Arial" w:eastAsia="Arial" w:hAnsi="Arial"/>
          <w:sz w:val="16"/>
          <w:szCs w:val="16"/>
          <w:color w:val="231F20"/>
        </w:rPr>
        <w:t xml:space="preserve"> months ended </w:t>
      </w:r>
      <w:r>
        <w:rPr>
          <w:rFonts w:ascii="Arial" w:cs="Arial" w:eastAsia="Arial" w:hAnsi="Arial"/>
          <w:sz w:val="16"/>
          <w:szCs w:val="16"/>
          <w:color w:val="000000"/>
        </w:rPr>
        <w:t>June 30, 2023</w:t>
      </w:r>
      <w:r>
        <w:rPr>
          <w:rFonts w:ascii="Arial" w:cs="Arial" w:eastAsia="Arial" w:hAnsi="Arial"/>
          <w:sz w:val="16"/>
          <w:szCs w:val="16"/>
          <w:color w:val="231F20"/>
        </w:rPr>
        <w:t xml:space="preserve"> and </w:t>
      </w:r>
      <w:r>
        <w:rPr>
          <w:rFonts w:ascii="Arial" w:cs="Arial" w:eastAsia="Arial" w:hAnsi="Arial"/>
          <w:sz w:val="16"/>
          <w:szCs w:val="16"/>
          <w:color w:val="000000"/>
        </w:rPr>
        <w:t>2022</w:t>
      </w:r>
      <w:r>
        <w:rPr>
          <w:rFonts w:ascii="Arial" w:cs="Arial" w:eastAsia="Arial" w:hAnsi="Arial"/>
          <w:sz w:val="16"/>
          <w:szCs w:val="16"/>
          <w:color w:val="231F20"/>
        </w:rPr>
        <w:t>:</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5"/>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(3,203)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(14,092)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(12,579)</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(27,655)</w:t>
            </w: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(21,062)</w:t>
            </w:r>
          </w:p>
        </w:tc>
        <w:tc>
          <w:tcPr>
            <w:tcW w:w="0" w:type="dxa"/>
            <w:vAlign w:val="bottom"/>
          </w:tcPr>
          <w:p>
            <w:pPr>
              <w:spacing w:after="0"/>
              <w:rPr>
                <w:sz w:val="1"/>
                <w:szCs w:val="1"/>
                <w:color w:val="auto"/>
              </w:rPr>
            </w:pPr>
          </w:p>
        </w:tc>
      </w:tr>
      <w:tr>
        <w:trPr>
          <w:trHeight w:val="233"/>
        </w:trPr>
        <w:tc>
          <w:tcPr>
            <w:tcW w:w="4580" w:type="dxa"/>
            <w:vAlign w:val="bottom"/>
          </w:tcPr>
          <w:p>
            <w:pPr>
              <w:ind w:left="20"/>
              <w:spacing w:after="0"/>
              <w:rPr>
                <w:sz w:val="20"/>
                <w:szCs w:val="20"/>
                <w:color w:val="auto"/>
              </w:rPr>
            </w:pPr>
            <w:r>
              <w:rPr>
                <w:rFonts w:ascii="Arial" w:cs="Arial" w:eastAsia="Arial" w:hAnsi="Arial"/>
                <w:sz w:val="18"/>
                <w:szCs w:val="18"/>
                <w:color w:val="auto"/>
              </w:rPr>
              <w:t>Net loss attributable to Viant Technology Inc.</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(3,401)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(3,543)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8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580" w:type="dxa"/>
            <w:vAlign w:val="bottom"/>
          </w:tcPr>
          <w:p>
            <w:pPr>
              <w:ind w:left="20"/>
              <w:spacing w:after="0" w:line="174" w:lineRule="exact"/>
              <w:rPr>
                <w:sz w:val="20"/>
                <w:szCs w:val="20"/>
                <w:color w:val="auto"/>
              </w:rPr>
            </w:pPr>
            <w:r>
              <w:rPr>
                <w:rFonts w:ascii="Arial" w:cs="Arial" w:eastAsia="Arial" w:hAnsi="Arial"/>
                <w:sz w:val="18"/>
                <w:szCs w:val="18"/>
                <w:color w:val="auto"/>
                <w:w w:val="88"/>
              </w:rPr>
              <w:t>Weighted-average shares of Class A common stock outstanding</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15,135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14,114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14,943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13,962</w:t>
            </w:r>
          </w:p>
        </w:tc>
        <w:tc>
          <w:tcPr>
            <w:tcW w:w="0" w:type="dxa"/>
            <w:vAlign w:val="bottom"/>
          </w:tcPr>
          <w:p>
            <w:pPr>
              <w:spacing w:after="0"/>
              <w:rPr>
                <w:sz w:val="1"/>
                <w:szCs w:val="1"/>
                <w:color w:val="auto"/>
              </w:rPr>
            </w:pPr>
          </w:p>
        </w:tc>
      </w:tr>
      <w:tr>
        <w:trPr>
          <w:trHeight w:val="212"/>
        </w:trPr>
        <w:tc>
          <w:tcPr>
            <w:tcW w:w="458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580" w:type="dxa"/>
            <w:vAlign w:val="bottom"/>
          </w:tcPr>
          <w:p>
            <w:pPr>
              <w:ind w:left="20"/>
              <w:spacing w:after="0"/>
              <w:rPr>
                <w:sz w:val="20"/>
                <w:szCs w:val="20"/>
                <w:color w:val="auto"/>
              </w:rPr>
            </w:pPr>
            <w:r>
              <w:rPr>
                <w:rFonts w:ascii="Arial" w:cs="Arial" w:eastAsia="Arial" w:hAnsi="Arial"/>
                <w:sz w:val="18"/>
                <w:szCs w:val="18"/>
                <w:color w:val="auto"/>
              </w:rPr>
              <w:t>Loss per share of Class A common stock—basic</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(0.24)</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share of Class A common stock—diluted</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58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w w:val="95"/>
              </w:rPr>
              <w:t>Anti-dilutive shares excluded from loss per share of Class A</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stock—diluted: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4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stock options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26"/>
        </w:trPr>
        <w:tc>
          <w:tcPr>
            <w:tcW w:w="4580" w:type="dxa"/>
            <w:vAlign w:val="bottom"/>
          </w:tcPr>
          <w:p>
            <w:pPr>
              <w:ind w:left="20"/>
              <w:spacing w:after="0"/>
              <w:rPr>
                <w:sz w:val="20"/>
                <w:szCs w:val="20"/>
                <w:color w:val="auto"/>
              </w:rPr>
            </w:pPr>
            <w:r>
              <w:rPr>
                <w:rFonts w:ascii="Arial" w:cs="Arial" w:eastAsia="Arial" w:hAnsi="Arial"/>
                <w:sz w:val="18"/>
                <w:szCs w:val="18"/>
                <w:color w:val="auto"/>
              </w:rPr>
              <w:t>Shares of Class B common stock</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0" w:type="dxa"/>
            <w:vAlign w:val="bottom"/>
          </w:tcPr>
          <w:p>
            <w:pPr>
              <w:spacing w:after="0"/>
              <w:rPr>
                <w:sz w:val="1"/>
                <w:szCs w:val="1"/>
                <w:color w:val="auto"/>
              </w:rPr>
            </w:pPr>
          </w:p>
        </w:tc>
      </w:tr>
      <w:tr>
        <w:trPr>
          <w:trHeight w:val="168"/>
        </w:trPr>
        <w:tc>
          <w:tcPr>
            <w:tcW w:w="45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1"/>
              </w:rPr>
              <w:t>Total shares excluded from loss per share of Class A common</w:t>
            </w: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57,085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55,761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57,085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55,761</w:t>
            </w:r>
          </w:p>
        </w:tc>
        <w:tc>
          <w:tcPr>
            <w:tcW w:w="0" w:type="dxa"/>
            <w:vAlign w:val="bottom"/>
          </w:tcPr>
          <w:p>
            <w:pPr>
              <w:spacing w:after="0"/>
              <w:rPr>
                <w:sz w:val="1"/>
                <w:szCs w:val="1"/>
                <w:color w:val="auto"/>
              </w:rPr>
            </w:pPr>
          </w:p>
        </w:tc>
      </w:tr>
      <w:tr>
        <w:trPr>
          <w:trHeight w:val="219"/>
        </w:trPr>
        <w:tc>
          <w:tcPr>
            <w:tcW w:w="458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color w:val="auto"/>
              </w:rPr>
              <w:t>stock—diluted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320" w:hanging="314"/>
        <w:spacing w:after="0"/>
        <w:tabs>
          <w:tab w:leader="none" w:pos="320" w:val="left"/>
        </w:tabs>
        <w:numPr>
          <w:ilvl w:val="0"/>
          <w:numId w:val="16"/>
        </w:numPr>
        <w:rPr>
          <w:rFonts w:ascii="Arial" w:cs="Arial" w:eastAsia="Arial" w:hAnsi="Arial"/>
          <w:sz w:val="21"/>
          <w:szCs w:val="21"/>
          <w:b w:val="1"/>
          <w:bCs w:val="1"/>
          <w:color w:val="231F20"/>
        </w:rPr>
      </w:pPr>
      <w:r>
        <w:rPr>
          <w:rFonts w:ascii="Arial" w:cs="Arial" w:eastAsia="Arial" w:hAnsi="Arial"/>
          <w:sz w:val="21"/>
          <w:szCs w:val="21"/>
          <w:b w:val="1"/>
          <w:bCs w:val="1"/>
          <w:i w:val="1"/>
          <w:iCs w:val="1"/>
          <w:color w:val="231F20"/>
        </w:rPr>
        <w:t>Noncontrolling Interests</w:t>
      </w:r>
    </w:p>
    <w:p>
      <w:pPr>
        <w:spacing w:after="0" w:line="114" w:lineRule="exact"/>
        <w:rPr>
          <w:sz w:val="20"/>
          <w:szCs w:val="20"/>
          <w:color w:val="auto"/>
        </w:rPr>
      </w:pPr>
    </w:p>
    <w:p>
      <w:pPr>
        <w:ind w:firstLine="479"/>
        <w:spacing w:after="0" w:line="265" w:lineRule="auto"/>
        <w:rPr>
          <w:sz w:val="20"/>
          <w:szCs w:val="20"/>
          <w:color w:val="auto"/>
        </w:rPr>
      </w:pPr>
      <w:r>
        <w:rPr>
          <w:rFonts w:ascii="Arial" w:cs="Arial" w:eastAsia="Arial" w:hAnsi="Arial"/>
          <w:sz w:val="17"/>
          <w:szCs w:val="17"/>
          <w:color w:val="231F20"/>
        </w:rPr>
        <w:t xml:space="preserve">Viant Technology Inc. is the sole managing member of Viant Technology LLC and, as a result, consolidates the financial results of Viant Technology LLC. We report noncontrolling interests representing the economic interests in Viant Technology LLC held by the other members of Viant Technology LLC. </w:t>
      </w:r>
      <w:r>
        <w:rPr>
          <w:rFonts w:ascii="Arial" w:cs="Arial" w:eastAsia="Arial" w:hAnsi="Arial"/>
          <w:sz w:val="17"/>
          <w:szCs w:val="17"/>
          <w:color w:val="000000"/>
        </w:rPr>
        <w:t xml:space="preserve">The Viant Technology LLC Agreement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Arial" w:cs="Arial" w:eastAsia="Arial" w:hAnsi="Arial"/>
          <w:sz w:val="17"/>
          <w:szCs w:val="17"/>
          <w:color w:val="231F20"/>
        </w:rPr>
        <w:t>Changes in the Company’s ownership interest in Viant Technology LLC while retaining control of Viant Technology LLC will be accounted for as equity transactions. As such, future redemptions or direct exchanges of Class B units in Viant Technology LLC by the other members and future issuances of Class A common stock under the LTIP will result in a change in ownership, where the Company will rebalance the noncontrolling interest, offset by a change in additional-paid-in-capital.</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ownership of Viant Technology LLC:</w:t>
      </w:r>
    </w:p>
    <w:p>
      <w:pPr>
        <w:spacing w:after="0" w:line="146" w:lineRule="exact"/>
        <w:rPr>
          <w:sz w:val="20"/>
          <w:szCs w:val="20"/>
          <w:color w:val="auto"/>
        </w:rPr>
      </w:pPr>
    </w:p>
    <w:tbl>
      <w:tblPr>
        <w:tblLayout w:type="fixed"/>
        <w:tblInd w:w="720" w:type="dxa"/>
        <w:tblCellMar>
          <w:top w:w="0" w:type="dxa"/>
          <w:left w:w="0" w:type="dxa"/>
          <w:bottom w:w="0" w:type="dxa"/>
          <w:right w:w="0" w:type="dxa"/>
        </w:tblCellMar>
      </w:tblPr>
      <w:tr>
        <w:trPr>
          <w:trHeight w:val="231"/>
        </w:trPr>
        <w:tc>
          <w:tcPr>
            <w:tcW w:w="4420" w:type="dxa"/>
            <w:vAlign w:val="bottom"/>
          </w:tcPr>
          <w:p>
            <w:pPr>
              <w:spacing w:after="0"/>
              <w:rPr>
                <w:sz w:val="20"/>
                <w:szCs w:val="20"/>
                <w:color w:val="auto"/>
              </w:rPr>
            </w:pPr>
          </w:p>
        </w:tc>
        <w:tc>
          <w:tcPr>
            <w:tcW w:w="2880" w:type="dxa"/>
            <w:vAlign w:val="bottom"/>
            <w:tcBorders>
              <w:bottom w:val="single" w:sz="8" w:color="auto"/>
            </w:tcBorders>
            <w:gridSpan w:val="3"/>
          </w:tcPr>
          <w:p>
            <w:pPr>
              <w:jc w:val="right"/>
              <w:ind w:right="631"/>
              <w:spacing w:after="0"/>
              <w:rPr>
                <w:sz w:val="20"/>
                <w:szCs w:val="20"/>
                <w:color w:val="auto"/>
              </w:rPr>
            </w:pPr>
            <w:r>
              <w:rPr>
                <w:rFonts w:ascii="Arial" w:cs="Arial" w:eastAsia="Arial" w:hAnsi="Arial"/>
                <w:sz w:val="18"/>
                <w:szCs w:val="18"/>
                <w:b w:val="1"/>
                <w:bCs w:val="1"/>
                <w:color w:val="auto"/>
              </w:rPr>
              <w:t>As of June 30, 2023</w:t>
            </w:r>
          </w:p>
        </w:tc>
        <w:tc>
          <w:tcPr>
            <w:tcW w:w="100" w:type="dxa"/>
            <w:vAlign w:val="bottom"/>
          </w:tcPr>
          <w:p>
            <w:pPr>
              <w:spacing w:after="0"/>
              <w:rPr>
                <w:sz w:val="20"/>
                <w:szCs w:val="20"/>
                <w:color w:val="auto"/>
              </w:rPr>
            </w:pPr>
          </w:p>
        </w:tc>
        <w:tc>
          <w:tcPr>
            <w:tcW w:w="29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As of December 31, 2022</w:t>
            </w:r>
          </w:p>
        </w:tc>
      </w:tr>
      <w:tr>
        <w:trPr>
          <w:trHeight w:val="175"/>
        </w:trPr>
        <w:tc>
          <w:tcPr>
            <w:tcW w:w="4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211"/>
              <w:spacing w:after="0" w:line="176" w:lineRule="exact"/>
              <w:rPr>
                <w:sz w:val="20"/>
                <w:szCs w:val="20"/>
                <w:color w:val="auto"/>
              </w:rPr>
            </w:pPr>
            <w:r>
              <w:rPr>
                <w:rFonts w:ascii="Arial" w:cs="Arial" w:eastAsia="Arial" w:hAnsi="Arial"/>
                <w:sz w:val="18"/>
                <w:szCs w:val="18"/>
                <w:b w:val="1"/>
                <w:bCs w:val="1"/>
                <w:color w:val="auto"/>
              </w:rPr>
              <w:t>Ownership</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231"/>
              <w:spacing w:after="0" w:line="176" w:lineRule="exact"/>
              <w:rPr>
                <w:sz w:val="20"/>
                <w:szCs w:val="20"/>
                <w:color w:val="auto"/>
              </w:rPr>
            </w:pPr>
            <w:r>
              <w:rPr>
                <w:rFonts w:ascii="Arial" w:cs="Arial" w:eastAsia="Arial" w:hAnsi="Arial"/>
                <w:sz w:val="18"/>
                <w:szCs w:val="18"/>
                <w:b w:val="1"/>
                <w:bCs w:val="1"/>
                <w:color w:val="auto"/>
              </w:rPr>
              <w:t>Ownership</w:t>
            </w:r>
          </w:p>
        </w:tc>
      </w:tr>
      <w:tr>
        <w:trPr>
          <w:trHeight w:val="231"/>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Owner</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Units Owned</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Percentage</w:t>
            </w:r>
          </w:p>
        </w:tc>
        <w:tc>
          <w:tcPr>
            <w:tcW w:w="100" w:type="dxa"/>
            <w:vAlign w:val="bottom"/>
          </w:tcPr>
          <w:p>
            <w:pPr>
              <w:spacing w:after="0"/>
              <w:rPr>
                <w:sz w:val="20"/>
                <w:szCs w:val="20"/>
                <w:color w:val="auto"/>
              </w:rPr>
            </w:pPr>
          </w:p>
        </w:tc>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Units Owned</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Percentage</w:t>
            </w:r>
          </w:p>
        </w:tc>
      </w:tr>
      <w:tr>
        <w:trPr>
          <w:trHeight w:val="22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Viant Technology Inc.</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15,342,563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4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8"/>
              </w:rPr>
              <w:t>14,643,798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23.7 %</w:t>
            </w:r>
          </w:p>
        </w:tc>
      </w:tr>
      <w:tr>
        <w:trPr>
          <w:trHeight w:val="23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47,082,260</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75.4 %</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88"/>
              </w:rPr>
              <w:t>47,082,260</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76.3 %</w:t>
            </w:r>
          </w:p>
        </w:tc>
      </w:tr>
      <w:tr>
        <w:trPr>
          <w:trHeight w:val="24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62,424,823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4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8"/>
              </w:rPr>
              <w:t>61,726,058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480" w:firstLine="479"/>
        <w:spacing w:after="0" w:line="266" w:lineRule="auto"/>
        <w:rPr>
          <w:sz w:val="20"/>
          <w:szCs w:val="20"/>
          <w:color w:val="auto"/>
        </w:rPr>
      </w:pPr>
      <w:r>
        <w:rPr>
          <w:rFonts w:ascii="Arial" w:cs="Arial" w:eastAsia="Arial" w:hAnsi="Arial"/>
          <w:sz w:val="18"/>
          <w:szCs w:val="18"/>
          <w:color w:val="231F20"/>
        </w:rPr>
        <w:t>There were no exchanges of Class B units of Viant Technology LLC for shares of the Company’s Class A common stock during the three and six months ended June 30, 2023.</w:t>
      </w:r>
    </w:p>
    <w:p>
      <w:pPr>
        <w:spacing w:after="0" w:line="39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left="480"/>
        <w:spacing w:after="0"/>
        <w:rPr>
          <w:sz w:val="20"/>
          <w:szCs w:val="20"/>
          <w:color w:val="auto"/>
        </w:rPr>
      </w:pPr>
      <w:r>
        <w:rPr>
          <w:rFonts w:ascii="Arial" w:cs="Arial" w:eastAsia="Arial" w:hAnsi="Arial"/>
          <w:sz w:val="18"/>
          <w:szCs w:val="18"/>
          <w:b w:val="1"/>
          <w:bCs w:val="1"/>
          <w:color w:val="auto"/>
        </w:rPr>
        <w:t>VIANT TECHNOLOGY INC.</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80" w:firstLine="479"/>
        <w:spacing w:after="0" w:line="266" w:lineRule="auto"/>
        <w:rPr>
          <w:sz w:val="20"/>
          <w:szCs w:val="20"/>
          <w:color w:val="auto"/>
        </w:rPr>
      </w:pPr>
      <w:r>
        <w:rPr>
          <w:rFonts w:ascii="Arial" w:cs="Arial" w:eastAsia="Arial" w:hAnsi="Arial"/>
          <w:sz w:val="18"/>
          <w:szCs w:val="18"/>
          <w:color w:val="auto"/>
        </w:rPr>
        <w:t>The following table presents the effect of changes in the Company’s ownership interest in Viant Technology LLC on the Company’s equity for the periods indicated:</w:t>
      </w:r>
    </w:p>
    <w:p>
      <w:pPr>
        <w:spacing w:after="0" w:line="79"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5"/>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Viant Technology Inc.</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32"/>
        </w:trPr>
        <w:tc>
          <w:tcPr>
            <w:tcW w:w="4580" w:type="dxa"/>
            <w:vAlign w:val="bottom"/>
          </w:tcPr>
          <w:p>
            <w:pPr>
              <w:ind w:left="20"/>
              <w:spacing w:after="0"/>
              <w:rPr>
                <w:sz w:val="20"/>
                <w:szCs w:val="20"/>
                <w:color w:val="auto"/>
              </w:rPr>
            </w:pPr>
            <w:r>
              <w:rPr>
                <w:rFonts w:ascii="Arial" w:cs="Arial" w:eastAsia="Arial" w:hAnsi="Arial"/>
                <w:sz w:val="18"/>
                <w:szCs w:val="18"/>
                <w:color w:val="auto"/>
              </w:rPr>
              <w:t>Transfers to noncontrolling interests: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2"/>
              </w:rPr>
              <w:t>Decrease in the additional-paid-in-capital of Viant Technology</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5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7"/>
              </w:rPr>
              <w:t>Inc. resulting from ownership changes in Viant Technology</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(9,731)</w:t>
            </w:r>
          </w:p>
        </w:tc>
        <w:tc>
          <w:tcPr>
            <w:tcW w:w="0" w:type="dxa"/>
            <w:vAlign w:val="bottom"/>
          </w:tcPr>
          <w:p>
            <w:pPr>
              <w:spacing w:after="0"/>
              <w:rPr>
                <w:sz w:val="1"/>
                <w:szCs w:val="1"/>
                <w:color w:val="auto"/>
              </w:rPr>
            </w:pPr>
          </w:p>
        </w:tc>
      </w:tr>
      <w:tr>
        <w:trPr>
          <w:trHeight w:val="22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LLC</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8" w:lineRule="exact"/>
              <w:rPr>
                <w:sz w:val="20"/>
                <w:szCs w:val="20"/>
                <w:color w:val="auto"/>
              </w:rPr>
            </w:pPr>
            <w:r>
              <w:rPr>
                <w:rFonts w:ascii="Arial" w:cs="Arial" w:eastAsia="Arial" w:hAnsi="Arial"/>
                <w:sz w:val="18"/>
                <w:szCs w:val="18"/>
                <w:color w:val="auto"/>
                <w:w w:val="91"/>
              </w:rPr>
              <w:t>Change from net loss attributable to Viant Technology Inc. and</w:t>
            </w:r>
          </w:p>
        </w:tc>
        <w:tc>
          <w:tcPr>
            <w:tcW w:w="300" w:type="dxa"/>
            <w:vAlign w:val="bottom"/>
            <w:vMerge w:val="restart"/>
          </w:tcPr>
          <w:p>
            <w:pPr>
              <w:jc w:val="right"/>
              <w:ind w:right="91"/>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(5,019)</w:t>
            </w:r>
          </w:p>
        </w:tc>
        <w:tc>
          <w:tcPr>
            <w:tcW w:w="4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(8,856)</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(9,876)</w:t>
            </w:r>
          </w:p>
        </w:tc>
        <w:tc>
          <w:tcPr>
            <w:tcW w:w="4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(16,324)</w:t>
            </w:r>
          </w:p>
        </w:tc>
        <w:tc>
          <w:tcPr>
            <w:tcW w:w="0" w:type="dxa"/>
            <w:vAlign w:val="bottom"/>
          </w:tcPr>
          <w:p>
            <w:pPr>
              <w:spacing w:after="0"/>
              <w:rPr>
                <w:sz w:val="1"/>
                <w:szCs w:val="1"/>
                <w:color w:val="auto"/>
              </w:rPr>
            </w:pPr>
          </w:p>
        </w:tc>
      </w:tr>
      <w:tr>
        <w:trPr>
          <w:trHeight w:val="199"/>
        </w:trPr>
        <w:tc>
          <w:tcPr>
            <w:tcW w:w="4580" w:type="dxa"/>
            <w:vAlign w:val="bottom"/>
          </w:tcPr>
          <w:p>
            <w:pPr>
              <w:ind w:left="20"/>
              <w:spacing w:after="0" w:line="199" w:lineRule="exact"/>
              <w:rPr>
                <w:sz w:val="20"/>
                <w:szCs w:val="20"/>
                <w:color w:val="auto"/>
              </w:rPr>
            </w:pPr>
            <w:r>
              <w:rPr>
                <w:rFonts w:ascii="Arial" w:cs="Arial" w:eastAsia="Arial" w:hAnsi="Arial"/>
                <w:sz w:val="18"/>
                <w:szCs w:val="18"/>
                <w:color w:val="auto"/>
              </w:rPr>
              <w:t>transfers to noncontrolling interests</w:t>
            </w:r>
          </w:p>
        </w:tc>
        <w:tc>
          <w:tcPr>
            <w:tcW w:w="3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320" w:hanging="314"/>
        <w:spacing w:after="0"/>
        <w:tabs>
          <w:tab w:leader="none" w:pos="320"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Commitments and Contingencies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2" w:lineRule="exact"/>
        <w:rPr>
          <w:sz w:val="20"/>
          <w:szCs w:val="20"/>
          <w:color w:val="auto"/>
        </w:rPr>
      </w:pPr>
    </w:p>
    <w:p>
      <w:pPr>
        <w:ind w:right="120" w:firstLine="479"/>
        <w:spacing w:after="0" w:line="266" w:lineRule="auto"/>
        <w:rPr>
          <w:sz w:val="20"/>
          <w:szCs w:val="20"/>
          <w:color w:val="auto"/>
        </w:rPr>
      </w:pPr>
      <w:r>
        <w:rPr>
          <w:rFonts w:ascii="Arial" w:cs="Arial" w:eastAsia="Arial" w:hAnsi="Arial"/>
          <w:sz w:val="18"/>
          <w:szCs w:val="18"/>
          <w:color w:val="auto"/>
        </w:rPr>
        <w:t>As of June 30, 2023, we had non-cancelable operating lease commitments for office space that have been recorded as operating lease liabilities. Refer to Note 5—Leases for additional information regarding lease commitments.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Hosting Commitments</w:t>
      </w:r>
    </w:p>
    <w:p>
      <w:pPr>
        <w:spacing w:after="0" w:line="112" w:lineRule="exact"/>
        <w:rPr>
          <w:sz w:val="20"/>
          <w:szCs w:val="20"/>
          <w:color w:val="auto"/>
        </w:rPr>
      </w:pPr>
    </w:p>
    <w:p>
      <w:pPr>
        <w:ind w:firstLine="479"/>
        <w:spacing w:after="0" w:line="256" w:lineRule="auto"/>
        <w:rPr>
          <w:sz w:val="20"/>
          <w:szCs w:val="20"/>
          <w:color w:val="auto"/>
        </w:rPr>
      </w:pPr>
      <w:r>
        <w:rPr>
          <w:rFonts w:ascii="Arial" w:cs="Arial" w:eastAsia="Arial" w:hAnsi="Arial"/>
          <w:sz w:val="18"/>
          <w:szCs w:val="18"/>
          <w:color w:val="auto"/>
        </w:rPr>
        <w:t>As of June 30, 2023, we had non-cancelable contractual agreements primarily related to the hosting of our data storage processing, storage, and other computing services. As of June 30, 2023, we estimate these obligations to be approximately $6.0 million for the remainder of 2023, $6.4 million in 2024, $5.1 million in 2025, and $0.8 million in 2026.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2" w:lineRule="exact"/>
        <w:rPr>
          <w:sz w:val="20"/>
          <w:szCs w:val="20"/>
          <w:color w:val="auto"/>
        </w:rPr>
      </w:pPr>
    </w:p>
    <w:p>
      <w:pPr>
        <w:ind w:right="260" w:firstLine="479"/>
        <w:spacing w:after="0" w:line="303" w:lineRule="auto"/>
        <w:rPr>
          <w:sz w:val="20"/>
          <w:szCs w:val="20"/>
          <w:color w:val="auto"/>
        </w:rPr>
      </w:pPr>
      <w:r>
        <w:rPr>
          <w:rFonts w:ascii="Arial" w:cs="Arial" w:eastAsia="Arial" w:hAnsi="Arial"/>
          <w:sz w:val="16"/>
          <w:szCs w:val="16"/>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Indemnities</w:t>
      </w:r>
    </w:p>
    <w:p>
      <w:pPr>
        <w:spacing w:after="0" w:line="112" w:lineRule="exact"/>
        <w:rPr>
          <w:sz w:val="20"/>
          <w:szCs w:val="20"/>
          <w:color w:val="auto"/>
        </w:rPr>
      </w:pPr>
    </w:p>
    <w:p>
      <w:pPr>
        <w:ind w:right="80" w:firstLine="479"/>
        <w:spacing w:after="0" w:line="286" w:lineRule="auto"/>
        <w:rPr>
          <w:sz w:val="20"/>
          <w:szCs w:val="20"/>
          <w:color w:val="auto"/>
        </w:rPr>
      </w:pPr>
      <w:r>
        <w:rPr>
          <w:rFonts w:ascii="Arial" w:cs="Arial" w:eastAsia="Arial" w:hAnsi="Arial"/>
          <w:sz w:val="16"/>
          <w:szCs w:val="16"/>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June 30, 2023.</w:t>
      </w:r>
    </w:p>
    <w:p>
      <w:pPr>
        <w:spacing w:after="0" w:line="38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left="48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8" w:lineRule="exact"/>
        <w:rPr>
          <w:sz w:val="20"/>
          <w:szCs w:val="20"/>
          <w:color w:val="auto"/>
        </w:rPr>
      </w:pPr>
    </w:p>
    <w:p>
      <w:pPr>
        <w:ind w:firstLine="479"/>
        <w:spacing w:after="0" w:line="265" w:lineRule="auto"/>
        <w:rPr>
          <w:sz w:val="20"/>
          <w:szCs w:val="20"/>
          <w:color w:val="auto"/>
        </w:rPr>
      </w:pPr>
      <w:r>
        <w:rPr>
          <w:rFonts w:ascii="Arial" w:cs="Arial" w:eastAsia="Arial" w:hAnsi="Arial"/>
          <w:sz w:val="17"/>
          <w:szCs w:val="17"/>
          <w:i w:val="1"/>
          <w:iCs w:val="1"/>
          <w:color w:val="231F20"/>
        </w:rPr>
        <w:t>The following Management’s Discussion and Analysis of Financial Condition and Results of Operations of Viant Technology Inc. and its subsidiaries (“Viant,” “we,” “us,” “our” or the “Company”) should be read in conjunction with, and is qualified in its entirety by reference to, our unaudited condensed consolidated financial statements and the related notes thereto and other financial information appearing elsewhere in this Quar</w:t>
      </w:r>
      <w:r>
        <w:rPr>
          <w:rFonts w:ascii="Arial" w:cs="Arial" w:eastAsia="Arial" w:hAnsi="Arial"/>
          <w:sz w:val="17"/>
          <w:szCs w:val="17"/>
          <w:i w:val="1"/>
          <w:iCs w:val="1"/>
          <w:color w:val="000000"/>
        </w:rPr>
        <w:t>terly Report on Form 10-Q</w:t>
      </w:r>
      <w:r>
        <w:rPr>
          <w:rFonts w:ascii="Arial" w:cs="Arial" w:eastAsia="Arial" w:hAnsi="Arial"/>
          <w:sz w:val="17"/>
          <w:szCs w:val="17"/>
          <w:i w:val="1"/>
          <w:iCs w:val="1"/>
          <w:color w:val="231F20"/>
        </w:rPr>
        <w:t xml:space="preserve"> </w:t>
      </w:r>
      <w:r>
        <w:rPr>
          <w:rFonts w:ascii="Arial" w:cs="Arial" w:eastAsia="Arial" w:hAnsi="Arial"/>
          <w:sz w:val="17"/>
          <w:szCs w:val="17"/>
          <w:i w:val="1"/>
          <w:iCs w:val="1"/>
          <w:color w:val="000000"/>
        </w:rPr>
        <w:t>(</w:t>
      </w:r>
      <w:r>
        <w:rPr>
          <w:rFonts w:ascii="Arial" w:cs="Arial" w:eastAsia="Arial" w:hAnsi="Arial"/>
          <w:sz w:val="17"/>
          <w:szCs w:val="17"/>
          <w:i w:val="1"/>
          <w:iCs w:val="1"/>
          <w:color w:val="231F20"/>
        </w:rPr>
        <w:t>“</w:t>
      </w:r>
      <w:r>
        <w:rPr>
          <w:rFonts w:ascii="Arial" w:cs="Arial" w:eastAsia="Arial" w:hAnsi="Arial"/>
          <w:sz w:val="17"/>
          <w:szCs w:val="17"/>
          <w:i w:val="1"/>
          <w:iCs w:val="1"/>
          <w:color w:val="000000"/>
        </w:rPr>
        <w:t>Quarterly Report</w:t>
      </w:r>
      <w:r>
        <w:rPr>
          <w:rFonts w:ascii="Arial" w:cs="Arial" w:eastAsia="Arial" w:hAnsi="Arial"/>
          <w:sz w:val="17"/>
          <w:szCs w:val="17"/>
          <w:i w:val="1"/>
          <w:iCs w:val="1"/>
          <w:color w:val="231F20"/>
        </w:rPr>
        <w:t>”</w:t>
      </w:r>
      <w:r>
        <w:rPr>
          <w:rFonts w:ascii="Arial" w:cs="Arial" w:eastAsia="Arial" w:hAnsi="Arial"/>
          <w:sz w:val="17"/>
          <w:szCs w:val="17"/>
          <w:i w:val="1"/>
          <w:iCs w:val="1"/>
          <w:color w:val="000000"/>
        </w:rPr>
        <w:t xml:space="preserve">) and our audited consolidated financial statements and notes thereto and the related Management’s Discussion and Analysis of Financial Condition and Results of Operations included in our Annual Report on Form 10-K for the year ended December 31, 2022, which was filed with the Securities and Exchange Commission (“SEC”) on March 2, 2023. In addition to historical financial information, the following discussion and analysis contains forward-looking statements that involve risks and uncertainties which could cause our actual results to differ materially from those anticipated in these forward-looking statements, including, but not limited to, the risks and uncertainties discussed under the heading </w:t>
      </w:r>
      <w:r>
        <w:rPr>
          <w:rFonts w:ascii="Arial" w:cs="Arial" w:eastAsia="Arial" w:hAnsi="Arial"/>
          <w:sz w:val="17"/>
          <w:szCs w:val="17"/>
          <w:color w:val="000000"/>
        </w:rPr>
        <w:t xml:space="preserve">“Special Note Regarding Forward-Looking Statements” </w:t>
      </w:r>
      <w:r>
        <w:rPr>
          <w:rFonts w:ascii="Arial" w:cs="Arial" w:eastAsia="Arial" w:hAnsi="Arial"/>
          <w:sz w:val="17"/>
          <w:szCs w:val="17"/>
          <w:i w:val="1"/>
          <w:iCs w:val="1"/>
          <w:color w:val="000000"/>
        </w:rPr>
        <w:t>and</w:t>
      </w:r>
      <w:r>
        <w:rPr>
          <w:rFonts w:ascii="Arial" w:cs="Arial" w:eastAsia="Arial" w:hAnsi="Arial"/>
          <w:sz w:val="17"/>
          <w:szCs w:val="17"/>
          <w:color w:val="000000"/>
        </w:rPr>
        <w:t xml:space="preserve"> “Risk Factors” </w:t>
      </w:r>
      <w:r>
        <w:rPr>
          <w:rFonts w:ascii="Arial" w:cs="Arial" w:eastAsia="Arial" w:hAnsi="Arial"/>
          <w:sz w:val="17"/>
          <w:szCs w:val="17"/>
          <w:i w:val="1"/>
          <w:iCs w:val="1"/>
          <w:color w:val="000000"/>
        </w:rPr>
        <w:t>and discussed elsewhere in this Quarterly Report. Additionally, our historical results are not necessarily indicative</w:t>
      </w:r>
      <w:r>
        <w:rPr>
          <w:rFonts w:ascii="Arial" w:cs="Arial" w:eastAsia="Arial" w:hAnsi="Arial"/>
          <w:sz w:val="17"/>
          <w:szCs w:val="17"/>
          <w:color w:val="000000"/>
        </w:rPr>
        <w:t xml:space="preserve"> </w:t>
      </w:r>
      <w:r>
        <w:rPr>
          <w:rFonts w:ascii="Arial" w:cs="Arial" w:eastAsia="Arial" w:hAnsi="Arial"/>
          <w:sz w:val="17"/>
          <w:szCs w:val="17"/>
          <w:i w:val="1"/>
          <w:iCs w:val="1"/>
          <w:color w:val="000000"/>
        </w:rPr>
        <w:t>of the results that may be expected for any period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18" w:lineRule="exact"/>
        <w:rPr>
          <w:sz w:val="20"/>
          <w:szCs w:val="20"/>
          <w:color w:val="auto"/>
        </w:rPr>
      </w:pPr>
    </w:p>
    <w:p>
      <w:pPr>
        <w:ind w:right="120" w:firstLine="479"/>
        <w:spacing w:after="0" w:line="256" w:lineRule="auto"/>
        <w:rPr>
          <w:sz w:val="20"/>
          <w:szCs w:val="20"/>
          <w:color w:val="auto"/>
        </w:rPr>
      </w:pPr>
      <w:r>
        <w:rPr>
          <w:rFonts w:ascii="Arial" w:cs="Arial" w:eastAsia="Arial" w:hAnsi="Arial"/>
          <w:sz w:val="18"/>
          <w:szCs w:val="18"/>
          <w:color w:val="231F20"/>
        </w:rPr>
        <w:t>We are an advertising technology company. Our cloud-based demand side platform (</w:t>
      </w:r>
      <w:r>
        <w:rPr>
          <w:rFonts w:ascii="Arial" w:cs="Arial" w:eastAsia="Arial" w:hAnsi="Arial"/>
          <w:sz w:val="18"/>
          <w:szCs w:val="18"/>
          <w:i w:val="1"/>
          <w:iCs w:val="1"/>
          <w:color w:val="000000"/>
        </w:rPr>
        <w:t>“</w:t>
      </w:r>
      <w:r>
        <w:rPr>
          <w:rFonts w:ascii="Arial" w:cs="Arial" w:eastAsia="Arial" w:hAnsi="Arial"/>
          <w:sz w:val="18"/>
          <w:szCs w:val="18"/>
          <w:color w:val="231F20"/>
        </w:rPr>
        <w:t>DSP</w:t>
      </w:r>
      <w:r>
        <w:rPr>
          <w:rFonts w:ascii="Arial" w:cs="Arial" w:eastAsia="Arial" w:hAnsi="Arial"/>
          <w:sz w:val="18"/>
          <w:szCs w:val="18"/>
          <w:i w:val="1"/>
          <w:iCs w:val="1"/>
          <w:color w:val="000000"/>
        </w:rPr>
        <w:t>”</w:t>
      </w:r>
      <w:r>
        <w:rPr>
          <w:rFonts w:ascii="Arial" w:cs="Arial" w:eastAsia="Arial" w:hAnsi="Arial"/>
          <w:sz w:val="18"/>
          <w:szCs w:val="18"/>
          <w:color w:val="231F20"/>
        </w:rPr>
        <w:t>), Adelphic,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spacing w:after="0" w:line="83" w:lineRule="exact"/>
        <w:rPr>
          <w:sz w:val="20"/>
          <w:szCs w:val="20"/>
          <w:color w:val="auto"/>
        </w:rPr>
      </w:pPr>
    </w:p>
    <w:p>
      <w:pPr>
        <w:jc w:val="both"/>
        <w:ind w:right="240" w:firstLine="479"/>
        <w:spacing w:after="0" w:line="256" w:lineRule="auto"/>
        <w:rPr>
          <w:sz w:val="20"/>
          <w:szCs w:val="20"/>
          <w:color w:val="auto"/>
        </w:rPr>
      </w:pPr>
      <w:r>
        <w:rPr>
          <w:rFonts w:ascii="Arial" w:cs="Arial" w:eastAsia="Arial" w:hAnsi="Arial"/>
          <w:sz w:val="18"/>
          <w:szCs w:val="18"/>
          <w:color w:val="231F20"/>
        </w:rPr>
        <w:t>Adelphic is used by marketers and their advertising agencies to centralize the planning, buying and measurement of their digital advertising across most channels. Through our omni-channel platform, a marketer can easily buy ads on desktop, mobile, connected TV, linear TV, in-game, streaming audio and digital billboards.</w:t>
      </w:r>
    </w:p>
    <w:p>
      <w:pPr>
        <w:spacing w:after="0" w:line="83" w:lineRule="exact"/>
        <w:rPr>
          <w:sz w:val="20"/>
          <w:szCs w:val="20"/>
          <w:color w:val="auto"/>
        </w:rPr>
      </w:pPr>
    </w:p>
    <w:p>
      <w:pPr>
        <w:ind w:right="80" w:firstLine="479"/>
        <w:spacing w:after="0" w:line="288" w:lineRule="auto"/>
        <w:rPr>
          <w:sz w:val="20"/>
          <w:szCs w:val="20"/>
          <w:color w:val="auto"/>
        </w:rPr>
      </w:pPr>
      <w:r>
        <w:rPr>
          <w:rFonts w:ascii="Arial" w:cs="Arial" w:eastAsia="Arial" w:hAnsi="Arial"/>
          <w:sz w:val="16"/>
          <w:szCs w:val="16"/>
          <w:color w:val="auto"/>
        </w:rPr>
        <w:t>Adelphic is an easy-to-use self-service platform that provides our customers with transparency and control over their advertising campaigns. Our platform offers customers unique visibility across a variety of inventory, allowing them to create customized audience segments and leverage our people-based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 on advertising spend (</w:t>
      </w:r>
      <w:r>
        <w:rPr>
          <w:rFonts w:ascii="Arial" w:cs="Arial" w:eastAsia="Arial" w:hAnsi="Arial"/>
          <w:sz w:val="16"/>
          <w:szCs w:val="16"/>
          <w:i w:val="1"/>
          <w:iCs w:val="1"/>
          <w:color w:val="auto"/>
        </w:rPr>
        <w:t>“</w:t>
      </w:r>
      <w:r>
        <w:rPr>
          <w:rFonts w:ascii="Arial" w:cs="Arial" w:eastAsia="Arial" w:hAnsi="Arial"/>
          <w:sz w:val="16"/>
          <w:szCs w:val="16"/>
          <w:color w:val="auto"/>
        </w:rPr>
        <w:t>ROAS</w:t>
      </w:r>
      <w:r>
        <w:rPr>
          <w:rFonts w:ascii="Arial" w:cs="Arial" w:eastAsia="Arial" w:hAnsi="Arial"/>
          <w:sz w:val="16"/>
          <w:szCs w:val="16"/>
          <w:i w:val="1"/>
          <w:iCs w:val="1"/>
          <w:color w:val="auto"/>
        </w:rPr>
        <w:t>”</w:t>
      </w:r>
      <w:r>
        <w:rPr>
          <w:rFonts w:ascii="Arial" w:cs="Arial" w:eastAsia="Arial" w:hAnsi="Arial"/>
          <w:sz w:val="16"/>
          <w:szCs w:val="16"/>
          <w:color w:val="auto"/>
        </w:rPr>
        <w:t>) across channels and we believe this can be a feature that helps us grow our customer base as more customers recognize its benefits.</w:t>
      </w:r>
    </w:p>
    <w:p>
      <w:pPr>
        <w:spacing w:after="0" w:line="60" w:lineRule="exact"/>
        <w:rPr>
          <w:sz w:val="20"/>
          <w:szCs w:val="20"/>
          <w:color w:val="auto"/>
        </w:rPr>
      </w:pPr>
    </w:p>
    <w:p>
      <w:pPr>
        <w:ind w:right="180" w:firstLine="479"/>
        <w:spacing w:after="0" w:line="266" w:lineRule="auto"/>
        <w:rPr>
          <w:sz w:val="20"/>
          <w:szCs w:val="20"/>
          <w:color w:val="auto"/>
        </w:rPr>
      </w:pPr>
      <w:r>
        <w:rPr>
          <w:rFonts w:ascii="Arial" w:cs="Arial" w:eastAsia="Arial" w:hAnsi="Arial"/>
          <w:sz w:val="18"/>
          <w:szCs w:val="18"/>
          <w:color w:val="231F20"/>
        </w:rPr>
        <w:t xml:space="preserve">We generate revenue by charging </w:t>
      </w:r>
      <w:r>
        <w:rPr>
          <w:rFonts w:ascii="Arial" w:cs="Arial" w:eastAsia="Arial" w:hAnsi="Arial"/>
          <w:sz w:val="18"/>
          <w:szCs w:val="18"/>
          <w:color w:val="000000"/>
        </w:rPr>
        <w:t>platform fees and service fees pursuant to agreements that enable a wide variety of marketers and their agencies to</w:t>
      </w:r>
      <w:r>
        <w:rPr>
          <w:rFonts w:ascii="Arial" w:cs="Arial" w:eastAsia="Arial" w:hAnsi="Arial"/>
          <w:sz w:val="18"/>
          <w:szCs w:val="18"/>
          <w:color w:val="231F20"/>
        </w:rPr>
        <w:t xml:space="preserve"> </w:t>
      </w:r>
      <w:r>
        <w:rPr>
          <w:rFonts w:ascii="Arial" w:cs="Arial" w:eastAsia="Arial" w:hAnsi="Arial"/>
          <w:sz w:val="18"/>
          <w:szCs w:val="18"/>
          <w:color w:val="000000"/>
        </w:rPr>
        <w:t xml:space="preserve">select the mix of pricing and service options that suits their unique business and </w:t>
      </w:r>
      <w:r>
        <w:rPr>
          <w:rFonts w:ascii="Arial" w:cs="Arial" w:eastAsia="Arial" w:hAnsi="Arial"/>
          <w:sz w:val="18"/>
          <w:szCs w:val="18"/>
          <w:color w:val="231F20"/>
        </w:rPr>
        <w:t>advertising budget</w:t>
      </w:r>
      <w:r>
        <w:rPr>
          <w:rFonts w:ascii="Arial" w:cs="Arial" w:eastAsia="Arial" w:hAnsi="Arial"/>
          <w:sz w:val="18"/>
          <w:szCs w:val="18"/>
          <w:color w:val="000000"/>
        </w:rPr>
        <w:t>.</w:t>
      </w:r>
    </w:p>
    <w:p>
      <w:pPr>
        <w:spacing w:after="0" w:line="74" w:lineRule="exact"/>
        <w:rPr>
          <w:sz w:val="20"/>
          <w:szCs w:val="20"/>
          <w:color w:val="auto"/>
        </w:rPr>
      </w:pPr>
    </w:p>
    <w:p>
      <w:pPr>
        <w:ind w:right="20" w:firstLine="479"/>
        <w:spacing w:after="0" w:line="285" w:lineRule="auto"/>
        <w:rPr>
          <w:sz w:val="20"/>
          <w:szCs w:val="20"/>
          <w:color w:val="auto"/>
        </w:rPr>
      </w:pPr>
      <w:r>
        <w:rPr>
          <w:rFonts w:ascii="Arial" w:cs="Arial" w:eastAsia="Arial" w:hAnsi="Arial"/>
          <w:sz w:val="16"/>
          <w:szCs w:val="16"/>
          <w:color w:val="231F20"/>
        </w:rPr>
        <w:t xml:space="preserve">These options consist of a percentage of spend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 is primarily a </w:t>
      </w:r>
      <w:r>
        <w:rPr>
          <w:rFonts w:ascii="Arial" w:cs="Arial" w:eastAsia="Arial" w:hAnsi="Arial"/>
          <w:sz w:val="16"/>
          <w:szCs w:val="16"/>
          <w:color w:val="000000"/>
        </w:rPr>
        <w:t>percentage of spend. Customers who prefer to use our fixed CPM pricing option enter</w:t>
      </w:r>
      <w:r>
        <w:rPr>
          <w:rFonts w:ascii="Arial" w:cs="Arial" w:eastAsia="Arial" w:hAnsi="Arial"/>
          <w:sz w:val="16"/>
          <w:szCs w:val="16"/>
          <w:color w:val="231F20"/>
        </w:rPr>
        <w:t xml:space="preserve"> </w:t>
      </w:r>
      <w:r>
        <w:rPr>
          <w:rFonts w:ascii="Arial" w:cs="Arial" w:eastAsia="Arial" w:hAnsi="Arial"/>
          <w:sz w:val="16"/>
          <w:szCs w:val="16"/>
          <w:color w:val="000000"/>
        </w:rPr>
        <w:t xml:space="preserve">into insertion order (“IO”) arrangements with us, </w:t>
      </w:r>
      <w:r>
        <w:rPr>
          <w:rFonts w:ascii="Arial" w:cs="Arial" w:eastAsia="Arial" w:hAnsi="Arial"/>
          <w:sz w:val="16"/>
          <w:szCs w:val="16"/>
          <w:color w:val="231F20"/>
        </w:rPr>
        <w:t>and we generate revenue by charging these customers a platform fee at a price for every 1,000 impressions</w:t>
      </w:r>
      <w:r>
        <w:rPr>
          <w:rFonts w:ascii="Arial" w:cs="Arial" w:eastAsia="Arial" w:hAnsi="Arial"/>
          <w:sz w:val="16"/>
          <w:szCs w:val="16"/>
          <w:color w:val="000000"/>
        </w:rPr>
        <w:t xml:space="preserve"> </w:t>
      </w:r>
      <w:r>
        <w:rPr>
          <w:rFonts w:ascii="Arial" w:cs="Arial" w:eastAsia="Arial" w:hAnsi="Arial"/>
          <w:sz w:val="16"/>
          <w:szCs w:val="16"/>
          <w:color w:val="231F20"/>
        </w:rPr>
        <w:t>an ad receives. We also offer different service options to our customers accessing our platform under an MSA or an IO to enable them to use our services to aid them in data management, media execution and advanced reporting. When customers utilize our services, we generate revenue by charging a service fee separate from the platform fee consisting of (1) a fee that represents a percentage of spend; (2) a flat monthly fee covering services in connection with data management and advanced reporting; or (3) a fixed CPM that is inclusive of media, other direct costs and services.</w:t>
      </w:r>
    </w:p>
    <w:p>
      <w:pPr>
        <w:spacing w:after="0" w:line="63" w:lineRule="exact"/>
        <w:rPr>
          <w:sz w:val="20"/>
          <w:szCs w:val="20"/>
          <w:color w:val="auto"/>
        </w:rPr>
      </w:pPr>
    </w:p>
    <w:p>
      <w:pPr>
        <w:ind w:right="60" w:firstLine="479"/>
        <w:spacing w:after="0" w:line="266" w:lineRule="auto"/>
        <w:rPr>
          <w:sz w:val="20"/>
          <w:szCs w:val="20"/>
          <w:color w:val="auto"/>
        </w:rPr>
      </w:pPr>
      <w:r>
        <w:rPr>
          <w:rFonts w:ascii="Arial" w:cs="Arial" w:eastAsia="Arial" w:hAnsi="Arial"/>
          <w:sz w:val="18"/>
          <w:szCs w:val="18"/>
          <w:color w:val="231F20"/>
        </w:rPr>
        <w:t>We believe that offering a mix of pricing and service options provides greater flexibility and access to our platform for marketers and their advertising agencies seeking to plan, buy, and measure programmatic campaigns.</w:t>
      </w:r>
    </w:p>
    <w:p>
      <w:pPr>
        <w:spacing w:after="0" w:line="74"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 xml:space="preserve">Our financial results for the three months ended </w:t>
      </w:r>
      <w:r>
        <w:rPr>
          <w:rFonts w:ascii="Arial" w:cs="Arial" w:eastAsia="Arial" w:hAnsi="Arial"/>
          <w:sz w:val="18"/>
          <w:szCs w:val="18"/>
          <w:color w:val="000000"/>
        </w:rPr>
        <w:t>June 30, 2023</w:t>
      </w:r>
      <w:r>
        <w:rPr>
          <w:rFonts w:ascii="Arial" w:cs="Arial" w:eastAsia="Arial" w:hAnsi="Arial"/>
          <w:sz w:val="18"/>
          <w:szCs w:val="18"/>
          <w:color w:val="231F20"/>
        </w:rPr>
        <w:t xml:space="preserve"> and 2022, respectively, include:</w:t>
      </w:r>
    </w:p>
    <w:p>
      <w:pPr>
        <w:spacing w:after="0" w:line="112" w:lineRule="exact"/>
        <w:rPr>
          <w:sz w:val="20"/>
          <w:szCs w:val="20"/>
          <w:color w:val="auto"/>
        </w:rPr>
      </w:pPr>
    </w:p>
    <w:p>
      <w:pPr>
        <w:ind w:left="1280" w:hanging="635"/>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Revenue of $57.2 million and $51.2 million, representing an increase of 11.8%;</w:t>
      </w:r>
    </w:p>
    <w:p>
      <w:pPr>
        <w:spacing w:after="0" w:line="112" w:lineRule="exact"/>
        <w:rPr>
          <w:rFonts w:ascii="Arial" w:cs="Arial" w:eastAsia="Arial" w:hAnsi="Arial"/>
          <w:sz w:val="18"/>
          <w:szCs w:val="18"/>
          <w:color w:val="auto"/>
        </w:rPr>
      </w:pPr>
    </w:p>
    <w:p>
      <w:pPr>
        <w:ind w:left="1280" w:hanging="635"/>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Gross profit of $23.7 million and $20.3 million, representing an increase of 17.0%;</w:t>
      </w:r>
    </w:p>
    <w:p>
      <w:pPr>
        <w:spacing w:after="0" w:line="105" w:lineRule="exact"/>
        <w:rPr>
          <w:rFonts w:ascii="Arial" w:cs="Arial" w:eastAsia="Arial" w:hAnsi="Arial"/>
          <w:sz w:val="18"/>
          <w:szCs w:val="18"/>
          <w:color w:val="auto"/>
        </w:rPr>
      </w:pPr>
    </w:p>
    <w:p>
      <w:pPr>
        <w:ind w:left="1280" w:hanging="635"/>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Contribution ex-TAC</w:t>
      </w:r>
      <w:r>
        <w:rPr>
          <w:rFonts w:ascii="Arial" w:cs="Arial" w:eastAsia="Arial" w:hAnsi="Arial"/>
          <w:sz w:val="23"/>
          <w:szCs w:val="23"/>
          <w:color w:val="231F20"/>
          <w:vertAlign w:val="superscript"/>
        </w:rPr>
        <w:t>1</w:t>
      </w:r>
      <w:r>
        <w:rPr>
          <w:rFonts w:ascii="Arial" w:cs="Arial" w:eastAsia="Arial" w:hAnsi="Arial"/>
          <w:sz w:val="18"/>
          <w:szCs w:val="18"/>
          <w:color w:val="231F20"/>
        </w:rPr>
        <w:t xml:space="preserve"> of $33.7 million and $31.7 million, representing an increase of 6.2%;</w:t>
      </w:r>
    </w:p>
    <w:p>
      <w:pPr>
        <w:spacing w:after="0" w:line="62" w:lineRule="exact"/>
        <w:rPr>
          <w:rFonts w:ascii="Arial" w:cs="Arial" w:eastAsia="Arial" w:hAnsi="Arial"/>
          <w:sz w:val="18"/>
          <w:szCs w:val="18"/>
          <w:color w:val="auto"/>
        </w:rPr>
      </w:pPr>
    </w:p>
    <w:p>
      <w:pPr>
        <w:ind w:left="1280" w:hanging="635"/>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Net loss of $3.2 million and $14.1 million, representing an improvement of 77.3%;</w:t>
      </w:r>
    </w:p>
    <w:p>
      <w:pPr>
        <w:spacing w:after="0" w:line="105" w:lineRule="exact"/>
        <w:rPr>
          <w:rFonts w:ascii="Arial" w:cs="Arial" w:eastAsia="Arial" w:hAnsi="Arial"/>
          <w:sz w:val="18"/>
          <w:szCs w:val="18"/>
          <w:color w:val="auto"/>
        </w:rPr>
      </w:pPr>
    </w:p>
    <w:p>
      <w:pPr>
        <w:ind w:left="1280" w:hanging="635"/>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Non-GAAP net income (loss)</w:t>
      </w:r>
      <w:r>
        <w:rPr>
          <w:rFonts w:ascii="Arial" w:cs="Arial" w:eastAsia="Arial" w:hAnsi="Arial"/>
          <w:sz w:val="23"/>
          <w:szCs w:val="23"/>
          <w:color w:val="231F20"/>
          <w:vertAlign w:val="superscript"/>
        </w:rPr>
        <w:t>1</w:t>
      </w:r>
      <w:r>
        <w:rPr>
          <w:rFonts w:ascii="Arial" w:cs="Arial" w:eastAsia="Arial" w:hAnsi="Arial"/>
          <w:sz w:val="18"/>
          <w:szCs w:val="18"/>
          <w:color w:val="231F20"/>
        </w:rPr>
        <w:t xml:space="preserve"> of $5.1 million and $(5.9) million, representing an increase of 185.9%; and</w:t>
      </w:r>
    </w:p>
    <w:p>
      <w:pPr>
        <w:spacing w:after="0" w:line="54" w:lineRule="exact"/>
        <w:rPr>
          <w:rFonts w:ascii="Arial" w:cs="Arial" w:eastAsia="Arial" w:hAnsi="Arial"/>
          <w:sz w:val="18"/>
          <w:szCs w:val="18"/>
          <w:color w:val="auto"/>
        </w:rPr>
      </w:pPr>
    </w:p>
    <w:p>
      <w:pPr>
        <w:ind w:left="1280" w:hanging="635"/>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Adjusted EBITDA</w:t>
      </w:r>
      <w:r>
        <w:rPr>
          <w:rFonts w:ascii="Arial" w:cs="Arial" w:eastAsia="Arial" w:hAnsi="Arial"/>
          <w:sz w:val="23"/>
          <w:szCs w:val="23"/>
          <w:color w:val="231F20"/>
          <w:vertAlign w:val="superscript"/>
        </w:rPr>
        <w:t>1</w:t>
      </w:r>
      <w:r>
        <w:rPr>
          <w:rFonts w:ascii="Arial" w:cs="Arial" w:eastAsia="Arial" w:hAnsi="Arial"/>
          <w:sz w:val="18"/>
          <w:szCs w:val="18"/>
          <w:color w:val="231F20"/>
        </w:rPr>
        <w:t xml:space="preserve"> of $6.8 million and $(3.1) million, representing an increase of 321.5%.</w:t>
      </w:r>
    </w:p>
    <w:p>
      <w:pPr>
        <w:spacing w:after="0" w:line="38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jc w:val="center"/>
        <w:ind w:right="-17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Our financial results for the six months ended </w:t>
      </w:r>
      <w:r>
        <w:rPr>
          <w:rFonts w:ascii="Arial" w:cs="Arial" w:eastAsia="Arial" w:hAnsi="Arial"/>
          <w:sz w:val="18"/>
          <w:szCs w:val="18"/>
          <w:color w:val="000000"/>
        </w:rPr>
        <w:t>June 30, 2023</w:t>
      </w:r>
      <w:r>
        <w:rPr>
          <w:rFonts w:ascii="Arial" w:cs="Arial" w:eastAsia="Arial" w:hAnsi="Arial"/>
          <w:sz w:val="18"/>
          <w:szCs w:val="18"/>
          <w:color w:val="231F20"/>
        </w:rPr>
        <w:t xml:space="preserve"> and 2022, respectively, include:</w:t>
      </w:r>
    </w:p>
    <w:p>
      <w:pPr>
        <w:spacing w:after="0" w:line="112" w:lineRule="exact"/>
        <w:rPr>
          <w:sz w:val="20"/>
          <w:szCs w:val="20"/>
          <w:color w:val="auto"/>
        </w:rPr>
      </w:pPr>
    </w:p>
    <w:p>
      <w:pPr>
        <w:ind w:left="800" w:hanging="63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Revenue of $98.9 million and $93.8 million, representing an increase of 5.5%;</w:t>
      </w:r>
    </w:p>
    <w:p>
      <w:pPr>
        <w:spacing w:after="0" w:line="112" w:lineRule="exact"/>
        <w:rPr>
          <w:rFonts w:ascii="Arial" w:cs="Arial" w:eastAsia="Arial" w:hAnsi="Arial"/>
          <w:sz w:val="18"/>
          <w:szCs w:val="18"/>
          <w:color w:val="auto"/>
        </w:rPr>
      </w:pPr>
    </w:p>
    <w:p>
      <w:pPr>
        <w:ind w:left="800" w:hanging="63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Gross profit of $42.1 million and $36.7 million, representing an increase of 14.7%;</w:t>
      </w:r>
    </w:p>
    <w:p>
      <w:pPr>
        <w:spacing w:after="0" w:line="105" w:lineRule="exact"/>
        <w:rPr>
          <w:rFonts w:ascii="Arial" w:cs="Arial" w:eastAsia="Arial" w:hAnsi="Arial"/>
          <w:sz w:val="18"/>
          <w:szCs w:val="18"/>
          <w:color w:val="auto"/>
        </w:rPr>
      </w:pPr>
    </w:p>
    <w:p>
      <w:pPr>
        <w:ind w:left="800" w:hanging="63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Contribution ex-TAC</w:t>
      </w:r>
      <w:r>
        <w:rPr>
          <w:rFonts w:ascii="Arial" w:cs="Arial" w:eastAsia="Arial" w:hAnsi="Arial"/>
          <w:sz w:val="23"/>
          <w:szCs w:val="23"/>
          <w:color w:val="231F20"/>
          <w:vertAlign w:val="superscript"/>
        </w:rPr>
        <w:t>1</w:t>
      </w:r>
      <w:r>
        <w:rPr>
          <w:rFonts w:ascii="Arial" w:cs="Arial" w:eastAsia="Arial" w:hAnsi="Arial"/>
          <w:sz w:val="18"/>
          <w:szCs w:val="18"/>
          <w:color w:val="231F20"/>
        </w:rPr>
        <w:t xml:space="preserve"> of $61.7 million and $59.3 million, representing an increase of 4.0%;</w:t>
      </w:r>
    </w:p>
    <w:p>
      <w:pPr>
        <w:spacing w:after="0" w:line="62" w:lineRule="exact"/>
        <w:rPr>
          <w:rFonts w:ascii="Arial" w:cs="Arial" w:eastAsia="Arial" w:hAnsi="Arial"/>
          <w:sz w:val="18"/>
          <w:szCs w:val="18"/>
          <w:color w:val="auto"/>
        </w:rPr>
      </w:pPr>
    </w:p>
    <w:p>
      <w:pPr>
        <w:ind w:left="800" w:hanging="63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Net loss of $12.6 million and $27.7 million, representing an improvement of 54.5%;</w:t>
      </w:r>
    </w:p>
    <w:p>
      <w:pPr>
        <w:spacing w:after="0" w:line="105" w:lineRule="exact"/>
        <w:rPr>
          <w:rFonts w:ascii="Arial" w:cs="Arial" w:eastAsia="Arial" w:hAnsi="Arial"/>
          <w:sz w:val="18"/>
          <w:szCs w:val="18"/>
          <w:color w:val="auto"/>
        </w:rPr>
      </w:pPr>
    </w:p>
    <w:p>
      <w:pPr>
        <w:ind w:left="800" w:hanging="63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Non-GAAP net income (loss)</w:t>
      </w:r>
      <w:r>
        <w:rPr>
          <w:rFonts w:ascii="Arial" w:cs="Arial" w:eastAsia="Arial" w:hAnsi="Arial"/>
          <w:sz w:val="23"/>
          <w:szCs w:val="23"/>
          <w:color w:val="231F20"/>
          <w:vertAlign w:val="superscript"/>
        </w:rPr>
        <w:t>1</w:t>
      </w:r>
      <w:r>
        <w:rPr>
          <w:rFonts w:ascii="Arial" w:cs="Arial" w:eastAsia="Arial" w:hAnsi="Arial"/>
          <w:sz w:val="18"/>
          <w:szCs w:val="18"/>
          <w:color w:val="231F20"/>
        </w:rPr>
        <w:t xml:space="preserve"> of $3.2 million and $(12.7) million, representing an increase of 125.5%; and</w:t>
      </w:r>
    </w:p>
    <w:p>
      <w:pPr>
        <w:spacing w:after="0" w:line="55" w:lineRule="exact"/>
        <w:rPr>
          <w:rFonts w:ascii="Arial" w:cs="Arial" w:eastAsia="Arial" w:hAnsi="Arial"/>
          <w:sz w:val="18"/>
          <w:szCs w:val="18"/>
          <w:color w:val="auto"/>
        </w:rPr>
      </w:pPr>
    </w:p>
    <w:p>
      <w:pPr>
        <w:ind w:left="800" w:hanging="63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Adjusted EBITDA</w:t>
      </w:r>
      <w:r>
        <w:rPr>
          <w:rFonts w:ascii="Arial" w:cs="Arial" w:eastAsia="Arial" w:hAnsi="Arial"/>
          <w:sz w:val="23"/>
          <w:szCs w:val="23"/>
          <w:color w:val="231F20"/>
          <w:vertAlign w:val="superscript"/>
        </w:rPr>
        <w:t>1</w:t>
      </w:r>
      <w:r>
        <w:rPr>
          <w:rFonts w:ascii="Arial" w:cs="Arial" w:eastAsia="Arial" w:hAnsi="Arial"/>
          <w:sz w:val="18"/>
          <w:szCs w:val="18"/>
          <w:color w:val="231F20"/>
        </w:rPr>
        <w:t xml:space="preserve"> of $6.4 million and $(7.0) million, representing an increase of 192.4%.</w:t>
      </w:r>
    </w:p>
    <w:p>
      <w:pPr>
        <w:spacing w:after="0" w:line="169" w:lineRule="exact"/>
        <w:rPr>
          <w:sz w:val="20"/>
          <w:szCs w:val="20"/>
          <w:color w:val="auto"/>
        </w:rPr>
      </w:pPr>
    </w:p>
    <w:p>
      <w:pPr>
        <w:ind w:left="480" w:hanging="315"/>
        <w:spacing w:after="0" w:line="295" w:lineRule="auto"/>
        <w:tabs>
          <w:tab w:leader="none" w:pos="480" w:val="left"/>
        </w:tabs>
        <w:numPr>
          <w:ilvl w:val="0"/>
          <w:numId w:val="20"/>
        </w:numPr>
        <w:rPr>
          <w:rFonts w:ascii="Arial" w:cs="Arial" w:eastAsia="Arial" w:hAnsi="Arial"/>
          <w:sz w:val="16"/>
          <w:szCs w:val="16"/>
          <w:color w:val="231F20"/>
        </w:rPr>
      </w:pPr>
      <w:r>
        <w:rPr>
          <w:rFonts w:ascii="Arial" w:cs="Arial" w:eastAsia="Arial" w:hAnsi="Arial"/>
          <w:sz w:val="16"/>
          <w:szCs w:val="16"/>
          <w:color w:val="231F20"/>
        </w:rPr>
        <w:t xml:space="preserve">Contribution ex-TAC, non-GAAP net income (loss) and adjusted EBITDA are non-GAAP financial measures. For a detailed discussion of our key operating and financial performance measures and a reconciliation of contribution ex-TAC, non-GAAP net income (loss) and adjusted EBITDA to the most directly comparable financial measures calculated in accordance with generally accepted </w:t>
      </w:r>
      <w:r>
        <w:rPr>
          <w:rFonts w:ascii="Arial" w:cs="Arial" w:eastAsia="Arial" w:hAnsi="Arial"/>
          <w:sz w:val="16"/>
          <w:szCs w:val="16"/>
          <w:color w:val="000000"/>
        </w:rPr>
        <w:t>accounting principles in the</w:t>
      </w:r>
      <w:r>
        <w:rPr>
          <w:rFonts w:ascii="Arial" w:cs="Arial" w:eastAsia="Arial" w:hAnsi="Arial"/>
          <w:sz w:val="16"/>
          <w:szCs w:val="16"/>
          <w:color w:val="231F20"/>
        </w:rPr>
        <w:t xml:space="preserve"> </w:t>
      </w:r>
      <w:r>
        <w:rPr>
          <w:rFonts w:ascii="Arial" w:cs="Arial" w:eastAsia="Arial" w:hAnsi="Arial"/>
          <w:sz w:val="16"/>
          <w:szCs w:val="16"/>
          <w:color w:val="000000"/>
        </w:rPr>
        <w:t xml:space="preserve">United States of America </w:t>
      </w:r>
      <w:r>
        <w:rPr>
          <w:rFonts w:ascii="Arial" w:cs="Arial" w:eastAsia="Arial" w:hAnsi="Arial"/>
          <w:sz w:val="16"/>
          <w:szCs w:val="16"/>
          <w:color w:val="231F20"/>
        </w:rPr>
        <w:t>(“GAAP”), see “—Key Operating and Financial Performance Measures—Use of Non-GAAP Financial Measures.”</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66675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580"/>
          </w:cols>
          <w:pgMar w:left="800" w:top="121" w:right="519" w:bottom="1440" w:gutter="0" w:footer="0" w:header="0"/>
        </w:sectPr>
      </w:pPr>
    </w:p>
    <w:bookmarkStart w:id="22" w:name="page23"/>
    <w:bookmarkEnd w:id="22"/>
    <w:p>
      <w:pPr>
        <w:jc w:val="center"/>
        <w:ind w:left="48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Our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Attract, Retain and Grow our Customer Base</w:t>
      </w:r>
    </w:p>
    <w:p>
      <w:pPr>
        <w:spacing w:after="0" w:line="112" w:lineRule="exact"/>
        <w:rPr>
          <w:sz w:val="20"/>
          <w:szCs w:val="20"/>
          <w:color w:val="auto"/>
        </w:rPr>
      </w:pPr>
    </w:p>
    <w:p>
      <w:pPr>
        <w:ind w:right="40" w:firstLine="479"/>
        <w:spacing w:after="0" w:line="286" w:lineRule="auto"/>
        <w:rPr>
          <w:sz w:val="20"/>
          <w:szCs w:val="20"/>
          <w:color w:val="auto"/>
        </w:rPr>
      </w:pPr>
      <w:r>
        <w:rPr>
          <w:rFonts w:ascii="Arial" w:cs="Arial" w:eastAsia="Arial" w:hAnsi="Arial"/>
          <w:sz w:val="16"/>
          <w:szCs w:val="16"/>
          <w:color w:val="231F20"/>
        </w:rPr>
        <w:t>Our future growth depends upon our ability to retain our existing customers and increase their usage of our platform as well as add new customers. We believe many advertisers are in the early stages of moving a greater percentage of their advertising budgets to programmatic channels. By providing solutions for the planning, buying and measuring of their media spend across most channels, we believe we are well positioned to capture more of our customers’ programmatic budgets. We also continue to add functionality to our platform to encourage our customers to increase their usage. For instance, we continue to leverage artificial intelligence and machine learning in our platform to help our customers improve the efficiency and effectiveness of their advertising campaigns. Further, we intend to continue to grow our sales and marketing efforts to increase awareness of our DSP, Adelphic, and highlight the advantages of our people-based framework as cookie-based options become increasingly limited.</w:t>
      </w:r>
    </w:p>
    <w:p>
      <w:pPr>
        <w:spacing w:after="0" w:line="63" w:lineRule="exact"/>
        <w:rPr>
          <w:sz w:val="20"/>
          <w:szCs w:val="20"/>
          <w:color w:val="auto"/>
        </w:rPr>
      </w:pPr>
    </w:p>
    <w:p>
      <w:pPr>
        <w:ind w:right="100" w:firstLine="479"/>
        <w:spacing w:after="0" w:line="283" w:lineRule="auto"/>
        <w:rPr>
          <w:sz w:val="20"/>
          <w:szCs w:val="20"/>
          <w:color w:val="auto"/>
        </w:rPr>
      </w:pPr>
      <w:r>
        <w:rPr>
          <w:rFonts w:ascii="Arial" w:cs="Arial" w:eastAsia="Arial" w:hAnsi="Arial"/>
          <w:sz w:val="16"/>
          <w:szCs w:val="16"/>
          <w:color w:val="auto"/>
        </w:rPr>
        <w:t>We evaluate our customers' usage of our platform and assess our market penetration and scale based on changes in revenue, contribution ex-TAC and advertiser spend. We define advertiser spend as the total amount billed to our customers for activity on our platform inclusive of the costs of advertising media, third-party data, other add-on features and our platform fee we charge customers. While we experienced customers reducing advertising budgets during the second half of 2022 due to adverse macroeconomic conditions, we saw stabilizing trends during the first half of 2023. For the three months ended June 30, 2023 compared to the three months ended June 30, 2022, our revenue grew 12% and our advertiser spend per active customer increased 7%. We believe growing customer adoption of our newer products and platform features drove incremental revenue and contribution ex-TAC in the quarter. Our active customer count was 314 for the twelve months ended June 30, 2023, which reflects a decline compared to the twelve months ended June 30, 2022 as we continued to cycle through a subset of customers that do not have the capacity to scale their spend on our platform. Additionally, as our mix shift towards percentage of spend becomes less impactful and as fixed price becomes a smaller percentage of total advertiser spend, we expect contribution ex-TAC to grow faster than revenue. For a detailed discussion of our key operating measures including the definition of active customers, see “—Key Operating and Financial Performance Measures—Use of Non-GAAP Financial Measures.”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Investment in Growth</w:t>
      </w:r>
    </w:p>
    <w:p>
      <w:pPr>
        <w:spacing w:after="0" w:line="112" w:lineRule="exact"/>
        <w:rPr>
          <w:sz w:val="20"/>
          <w:szCs w:val="20"/>
          <w:color w:val="auto"/>
        </w:rPr>
      </w:pPr>
    </w:p>
    <w:p>
      <w:pPr>
        <w:ind w:right="80" w:firstLine="479"/>
        <w:spacing w:after="0" w:line="251" w:lineRule="auto"/>
        <w:rPr>
          <w:sz w:val="20"/>
          <w:szCs w:val="20"/>
          <w:color w:val="auto"/>
        </w:rPr>
      </w:pPr>
      <w:r>
        <w:rPr>
          <w:rFonts w:ascii="Arial" w:cs="Arial" w:eastAsia="Arial" w:hAnsi="Arial"/>
          <w:sz w:val="18"/>
          <w:szCs w:val="18"/>
          <w:color w:val="231F20"/>
        </w:rPr>
        <w:t>We believe that the advertising market is in the early stages of a shift toward programmatic advertising. We plan to invest for long-term growth. We anticipate that our operating expenses will continue to increase in the foreseeable future as we invest in platform operations, technology and development to enhance our product capabilities including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Impact of Macroeconomic and Geopolitical Conditions</w:t>
      </w:r>
    </w:p>
    <w:p>
      <w:pPr>
        <w:spacing w:after="0" w:line="112" w:lineRule="exact"/>
        <w:rPr>
          <w:sz w:val="20"/>
          <w:szCs w:val="20"/>
          <w:color w:val="auto"/>
        </w:rPr>
      </w:pPr>
    </w:p>
    <w:p>
      <w:pPr>
        <w:ind w:firstLine="479"/>
        <w:spacing w:after="0" w:line="266" w:lineRule="auto"/>
        <w:rPr>
          <w:sz w:val="20"/>
          <w:szCs w:val="20"/>
          <w:color w:val="auto"/>
        </w:rPr>
      </w:pPr>
      <w:r>
        <w:rPr>
          <w:rFonts w:ascii="Arial" w:cs="Arial" w:eastAsia="Arial" w:hAnsi="Arial"/>
          <w:sz w:val="17"/>
          <w:szCs w:val="17"/>
          <w:color w:val="231F20"/>
        </w:rPr>
        <w:t>Macroeconomic conditions and geopolitical events, such as inflation, rising interest rates, tightening of credit markets, recession risks, labor shortages, supply chain disruptions, and potential disruptions from the Russia-Ukraine conflict, have impacted and may continue to impact our business and the business of our customers, while also disrupting sales channels and advertising and marketing activities. We continue to actively monitor the impact of these macroeconomic factors on our results of operations, financial condition and cash flows, and on our clients, partners, industry and employees, and have slowed the pace of further investments in sales and marketing as a result of these factors. The extent of the impact of these factors on our operational and financial performance, including our ability to execute our business strategies and initiatives in the expected time frame, will depend on future developments, which are uncertain and cannot be predicted. Due to the nature of our business, the effect of these macroeconomic conditions and geopolitical events may not be fully reflected in our results of operations until future periods.</w:t>
      </w:r>
    </w:p>
    <w:p>
      <w:pPr>
        <w:spacing w:after="0" w:line="77" w:lineRule="exact"/>
        <w:rPr>
          <w:sz w:val="20"/>
          <w:szCs w:val="20"/>
          <w:color w:val="auto"/>
        </w:rPr>
      </w:pPr>
    </w:p>
    <w:p>
      <w:pPr>
        <w:ind w:right="140" w:firstLine="479"/>
        <w:spacing w:after="0" w:line="303" w:lineRule="auto"/>
        <w:rPr>
          <w:sz w:val="20"/>
          <w:szCs w:val="20"/>
          <w:color w:val="auto"/>
        </w:rPr>
      </w:pPr>
      <w:r>
        <w:rPr>
          <w:rFonts w:ascii="Arial" w:cs="Arial" w:eastAsia="Arial" w:hAnsi="Arial"/>
          <w:sz w:val="16"/>
          <w:szCs w:val="16"/>
          <w:color w:val="auto"/>
        </w:rPr>
        <w:t>In the fourth quarter of 2022, we initiated a cost reduction plan aimed at reducing our operating expenses and sharpening our focus on key growth priorities in light of these macroeconomic conditions. This included a reduction of our employee headcount by approximately 13% resulting in restructuring charges of $1.4 million for the year ended December 31, 2022, consisting primarily of cash severance payments, employee benefits, and related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Growth of the Digital Advertising Market</w:t>
      </w:r>
    </w:p>
    <w:p>
      <w:pPr>
        <w:spacing w:after="0" w:line="112" w:lineRule="exact"/>
        <w:rPr>
          <w:sz w:val="20"/>
          <w:szCs w:val="20"/>
          <w:color w:val="auto"/>
        </w:rPr>
      </w:pPr>
    </w:p>
    <w:p>
      <w:pPr>
        <w:ind w:right="120" w:firstLine="479"/>
        <w:spacing w:after="0" w:line="295" w:lineRule="auto"/>
        <w:rPr>
          <w:sz w:val="20"/>
          <w:szCs w:val="20"/>
          <w:color w:val="auto"/>
        </w:rPr>
      </w:pPr>
      <w:r>
        <w:rPr>
          <w:rFonts w:ascii="Arial" w:cs="Arial" w:eastAsia="Arial" w:hAnsi="Arial"/>
          <w:sz w:val="16"/>
          <w:szCs w:val="16"/>
          <w:color w:val="231F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37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left="4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Seasonality</w:t>
      </w:r>
    </w:p>
    <w:p>
      <w:pPr>
        <w:spacing w:after="0" w:line="112" w:lineRule="exact"/>
        <w:rPr>
          <w:sz w:val="20"/>
          <w:szCs w:val="20"/>
          <w:color w:val="auto"/>
        </w:rPr>
      </w:pPr>
    </w:p>
    <w:p>
      <w:pPr>
        <w:ind w:right="40" w:firstLine="479"/>
        <w:spacing w:after="0" w:line="266" w:lineRule="auto"/>
        <w:rPr>
          <w:sz w:val="20"/>
          <w:szCs w:val="20"/>
          <w:color w:val="auto"/>
        </w:rPr>
      </w:pPr>
      <w:r>
        <w:rPr>
          <w:rFonts w:ascii="Arial" w:cs="Arial" w:eastAsia="Arial" w:hAnsi="Arial"/>
          <w:sz w:val="17"/>
          <w:szCs w:val="17"/>
          <w:color w:val="231F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the evolving macroeconomic and geopolitical conditions discussed above</w:t>
      </w:r>
      <w:r>
        <w:rPr>
          <w:rFonts w:ascii="Arial" w:cs="Arial" w:eastAsia="Arial" w:hAnsi="Arial"/>
          <w:sz w:val="17"/>
          <w:szCs w:val="17"/>
          <w:color w:val="000000"/>
        </w:rPr>
        <w:t>.</w:t>
      </w:r>
      <w:r>
        <w:rPr>
          <w:rFonts w:ascii="Arial" w:cs="Arial" w:eastAsia="Arial" w:hAnsi="Arial"/>
          <w:sz w:val="17"/>
          <w:szCs w:val="17"/>
          <w:color w:val="231F20"/>
        </w:rPr>
        <w:t xml:space="preserve"> 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18" w:lineRule="exact"/>
        <w:rPr>
          <w:sz w:val="20"/>
          <w:szCs w:val="20"/>
          <w:color w:val="auto"/>
        </w:rPr>
      </w:pPr>
    </w:p>
    <w:p>
      <w:pPr>
        <w:ind w:right="160" w:firstLine="479"/>
        <w:spacing w:after="0" w:line="256" w:lineRule="auto"/>
        <w:rPr>
          <w:sz w:val="20"/>
          <w:szCs w:val="20"/>
          <w:color w:val="auto"/>
        </w:rPr>
      </w:pPr>
      <w:r>
        <w:rPr>
          <w:rFonts w:ascii="Arial" w:cs="Arial" w:eastAsia="Arial" w:hAnsi="Arial"/>
          <w:sz w:val="18"/>
          <w:szCs w:val="18"/>
          <w:color w:val="231F20"/>
        </w:rPr>
        <w:t>The following tables present our condensed consolidated statements of operations, our condensed consolidated statements of operations as a percentage of revenue, and the impact of stock-based compensation, depreciation and amortization on each operating expense line item for the three and six months ended June 30, 2023 and 2022:</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ind w:left="400"/>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4"/>
        </w:trPr>
        <w:tc>
          <w:tcPr>
            <w:tcW w:w="720" w:type="dxa"/>
            <w:vAlign w:val="bottom"/>
          </w:tcPr>
          <w:p>
            <w:pPr>
              <w:spacing w:after="0"/>
              <w:rPr>
                <w:sz w:val="19"/>
                <w:szCs w:val="19"/>
                <w:color w:val="auto"/>
              </w:rPr>
            </w:pPr>
          </w:p>
        </w:tc>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r>
      <w:tr>
        <w:trPr>
          <w:trHeight w:val="220"/>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r>
      <w:tr>
        <w:trPr>
          <w:trHeight w:val="226"/>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57,223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51,200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98,943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93,829</w:t>
            </w:r>
          </w:p>
        </w:tc>
        <w:tc>
          <w:tcPr>
            <w:tcW w:w="220" w:type="dxa"/>
            <w:vAlign w:val="bottom"/>
          </w:tcPr>
          <w:p>
            <w:pPr>
              <w:spacing w:after="0"/>
              <w:rPr>
                <w:sz w:val="19"/>
                <w:szCs w:val="19"/>
                <w:color w:val="auto"/>
              </w:rPr>
            </w:pPr>
          </w:p>
        </w:tc>
      </w:tr>
      <w:tr>
        <w:trPr>
          <w:trHeight w:val="227"/>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r>
      <w:tr>
        <w:trPr>
          <w:trHeight w:val="232"/>
        </w:trPr>
        <w:tc>
          <w:tcPr>
            <w:tcW w:w="720" w:type="dxa"/>
            <w:vAlign w:val="bottom"/>
          </w:tcPr>
          <w:p>
            <w:pPr>
              <w:spacing w:after="0"/>
              <w:rPr>
                <w:sz w:val="20"/>
                <w:szCs w:val="20"/>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Platform operations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30,950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57,144</w:t>
            </w:r>
          </w:p>
        </w:tc>
        <w:tc>
          <w:tcPr>
            <w:tcW w:w="220" w:type="dxa"/>
            <w:vAlign w:val="bottom"/>
          </w:tcPr>
          <w:p>
            <w:pPr>
              <w:spacing w:after="0"/>
              <w:rPr>
                <w:sz w:val="20"/>
                <w:szCs w:val="20"/>
                <w:color w:val="auto"/>
              </w:rPr>
            </w:pPr>
          </w:p>
        </w:tc>
      </w:tr>
      <w:tr>
        <w:trPr>
          <w:trHeight w:val="234"/>
        </w:trPr>
        <w:tc>
          <w:tcPr>
            <w:tcW w:w="720" w:type="dxa"/>
            <w:vAlign w:val="bottom"/>
          </w:tcPr>
          <w:p>
            <w:pPr>
              <w:spacing w:after="0"/>
              <w:rPr>
                <w:sz w:val="20"/>
                <w:szCs w:val="20"/>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31,042</w:t>
            </w:r>
          </w:p>
        </w:tc>
        <w:tc>
          <w:tcPr>
            <w:tcW w:w="220" w:type="dxa"/>
            <w:vAlign w:val="bottom"/>
          </w:tcPr>
          <w:p>
            <w:pPr>
              <w:spacing w:after="0"/>
              <w:rPr>
                <w:sz w:val="20"/>
                <w:szCs w:val="20"/>
                <w:color w:val="auto"/>
              </w:rPr>
            </w:pPr>
          </w:p>
        </w:tc>
      </w:tr>
      <w:tr>
        <w:trPr>
          <w:trHeight w:val="226"/>
        </w:trPr>
        <w:tc>
          <w:tcPr>
            <w:tcW w:w="720" w:type="dxa"/>
            <w:vAlign w:val="bottom"/>
          </w:tcPr>
          <w:p>
            <w:pPr>
              <w:spacing w:after="0"/>
              <w:rPr>
                <w:sz w:val="19"/>
                <w:szCs w:val="19"/>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Technology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10,014</w:t>
            </w:r>
          </w:p>
        </w:tc>
        <w:tc>
          <w:tcPr>
            <w:tcW w:w="220" w:type="dxa"/>
            <w:vAlign w:val="bottom"/>
          </w:tcPr>
          <w:p>
            <w:pPr>
              <w:spacing w:after="0"/>
              <w:rPr>
                <w:sz w:val="19"/>
                <w:szCs w:val="19"/>
                <w:color w:val="auto"/>
              </w:rPr>
            </w:pPr>
          </w:p>
        </w:tc>
      </w:tr>
      <w:tr>
        <w:trPr>
          <w:trHeight w:val="240"/>
        </w:trPr>
        <w:tc>
          <w:tcPr>
            <w:tcW w:w="720" w:type="dxa"/>
            <w:vAlign w:val="bottom"/>
          </w:tcPr>
          <w:p>
            <w:pPr>
              <w:spacing w:after="0"/>
              <w:rPr>
                <w:sz w:val="20"/>
                <w:szCs w:val="20"/>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11,725</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22,516</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22,808</w:t>
            </w:r>
          </w:p>
        </w:tc>
        <w:tc>
          <w:tcPr>
            <w:tcW w:w="220" w:type="dxa"/>
            <w:vAlign w:val="bottom"/>
          </w:tcPr>
          <w:p>
            <w:pPr>
              <w:spacing w:after="0"/>
              <w:rPr>
                <w:sz w:val="20"/>
                <w:szCs w:val="20"/>
                <w:color w:val="auto"/>
              </w:rPr>
            </w:pPr>
          </w:p>
        </w:tc>
      </w:tr>
      <w:tr>
        <w:trPr>
          <w:trHeight w:val="219"/>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62,474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64,972</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121,008</w:t>
            </w:r>
          </w:p>
        </w:tc>
        <w:tc>
          <w:tcPr>
            <w:tcW w:w="220" w:type="dxa"/>
            <w:vAlign w:val="bottom"/>
          </w:tcPr>
          <w:p>
            <w:pPr>
              <w:spacing w:after="0"/>
              <w:rPr>
                <w:sz w:val="19"/>
                <w:szCs w:val="19"/>
                <w:color w:val="auto"/>
              </w:rPr>
            </w:pPr>
          </w:p>
        </w:tc>
      </w:tr>
      <w:tr>
        <w:trPr>
          <w:trHeight w:val="220"/>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(27,179)</w:t>
            </w:r>
          </w:p>
        </w:tc>
        <w:tc>
          <w:tcPr>
            <w:tcW w:w="220" w:type="dxa"/>
            <w:vAlign w:val="bottom"/>
          </w:tcPr>
          <w:p>
            <w:pPr>
              <w:spacing w:after="0"/>
              <w:rPr>
                <w:sz w:val="19"/>
                <w:szCs w:val="19"/>
                <w:color w:val="auto"/>
              </w:rPr>
            </w:pPr>
          </w:p>
        </w:tc>
      </w:tr>
      <w:tr>
        <w:trPr>
          <w:trHeight w:val="239"/>
        </w:trPr>
        <w:tc>
          <w:tcPr>
            <w:tcW w:w="720" w:type="dxa"/>
            <w:vAlign w:val="bottom"/>
          </w:tcPr>
          <w:p>
            <w:pPr>
              <w:spacing w:after="0"/>
              <w:rPr>
                <w:sz w:val="20"/>
                <w:szCs w:val="20"/>
                <w:color w:val="auto"/>
              </w:rPr>
            </w:pPr>
          </w:p>
        </w:tc>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 net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220" w:type="dxa"/>
            <w:vAlign w:val="bottom"/>
          </w:tcPr>
          <w:p>
            <w:pPr>
              <w:spacing w:after="0"/>
              <w:rPr>
                <w:sz w:val="20"/>
                <w:szCs w:val="20"/>
                <w:color w:val="auto"/>
              </w:rPr>
            </w:pPr>
          </w:p>
        </w:tc>
      </w:tr>
      <w:tr>
        <w:trPr>
          <w:trHeight w:val="220"/>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(27,655)</w:t>
            </w:r>
          </w:p>
        </w:tc>
        <w:tc>
          <w:tcPr>
            <w:tcW w:w="220" w:type="dxa"/>
            <w:vAlign w:val="bottom"/>
          </w:tcPr>
          <w:p>
            <w:pPr>
              <w:spacing w:after="0"/>
              <w:rPr>
                <w:sz w:val="19"/>
                <w:szCs w:val="19"/>
                <w:color w:val="auto"/>
              </w:rPr>
            </w:pPr>
          </w:p>
        </w:tc>
      </w:tr>
      <w:tr>
        <w:trPr>
          <w:trHeight w:val="226"/>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(21,062)</w:t>
            </w:r>
          </w:p>
        </w:tc>
        <w:tc>
          <w:tcPr>
            <w:tcW w:w="220" w:type="dxa"/>
            <w:vAlign w:val="bottom"/>
          </w:tcPr>
          <w:p>
            <w:pPr>
              <w:spacing w:after="0"/>
              <w:rPr>
                <w:sz w:val="19"/>
                <w:szCs w:val="19"/>
                <w:color w:val="auto"/>
              </w:rPr>
            </w:pPr>
          </w:p>
        </w:tc>
      </w:tr>
      <w:tr>
        <w:trPr>
          <w:trHeight w:val="253"/>
        </w:trPr>
        <w:tc>
          <w:tcPr>
            <w:tcW w:w="720" w:type="dxa"/>
            <w:vAlign w:val="bottom"/>
          </w:tcPr>
          <w:p>
            <w:pPr>
              <w:spacing w:after="0"/>
              <w:rPr>
                <w:sz w:val="21"/>
                <w:szCs w:val="21"/>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Viant Technology Inc.</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220" w:type="dxa"/>
            <w:vAlign w:val="bottom"/>
          </w:tcPr>
          <w:p>
            <w:pPr>
              <w:spacing w:after="0"/>
              <w:rPr>
                <w:sz w:val="21"/>
                <w:szCs w:val="21"/>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91"/>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6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4"/>
        </w:trPr>
        <w:tc>
          <w:tcPr>
            <w:tcW w:w="7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left="4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34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9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7"/>
                <w:szCs w:val="17"/>
                <w:color w:val="auto"/>
              </w:rPr>
            </w:pPr>
          </w:p>
        </w:tc>
        <w:tc>
          <w:tcPr>
            <w:tcW w:w="2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Six Months Ended</w:t>
            </w:r>
          </w:p>
        </w:tc>
      </w:tr>
      <w:tr>
        <w:trPr>
          <w:trHeight w:val="235"/>
        </w:trPr>
        <w:tc>
          <w:tcPr>
            <w:tcW w:w="43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center"/>
              <w:ind w:left="11"/>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911"/>
              <w:spacing w:after="0"/>
              <w:rPr>
                <w:sz w:val="20"/>
                <w:szCs w:val="20"/>
                <w:color w:val="auto"/>
              </w:rPr>
            </w:pPr>
            <w:r>
              <w:rPr>
                <w:rFonts w:ascii="Arial" w:cs="Arial" w:eastAsia="Arial" w:hAnsi="Arial"/>
                <w:sz w:val="18"/>
                <w:szCs w:val="18"/>
                <w:b w:val="1"/>
                <w:bCs w:val="1"/>
                <w:color w:val="auto"/>
                <w:w w:val="85"/>
              </w:rPr>
              <w:t>June 30,</w:t>
            </w:r>
          </w:p>
        </w:tc>
        <w:tc>
          <w:tcPr>
            <w:tcW w:w="1020" w:type="dxa"/>
            <w:vAlign w:val="bottom"/>
            <w:tcBorders>
              <w:bottom w:val="single" w:sz="8" w:color="auto"/>
            </w:tcBorders>
          </w:tcPr>
          <w:p>
            <w:pPr>
              <w:spacing w:after="0"/>
              <w:rPr>
                <w:sz w:val="20"/>
                <w:szCs w:val="20"/>
                <w:color w:val="auto"/>
              </w:rPr>
            </w:pPr>
          </w:p>
        </w:tc>
      </w:tr>
      <w:tr>
        <w:trPr>
          <w:trHeight w:val="224"/>
        </w:trPr>
        <w:tc>
          <w:tcPr>
            <w:tcW w:w="43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r>
      <w:tr>
        <w:trPr>
          <w:trHeight w:val="220"/>
        </w:trPr>
        <w:tc>
          <w:tcPr>
            <w:tcW w:w="4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5"/>
          </w:tcPr>
          <w:p>
            <w:pPr>
              <w:ind w:left="460"/>
              <w:spacing w:after="0"/>
              <w:rPr>
                <w:sz w:val="20"/>
                <w:szCs w:val="20"/>
                <w:color w:val="auto"/>
              </w:rPr>
            </w:pPr>
            <w:r>
              <w:rPr>
                <w:rFonts w:ascii="Arial" w:cs="Arial" w:eastAsia="Arial" w:hAnsi="Arial"/>
                <w:sz w:val="18"/>
                <w:szCs w:val="18"/>
                <w:b w:val="1"/>
                <w:bCs w:val="1"/>
                <w:color w:val="auto"/>
              </w:rPr>
              <w:t>(% of revenue*)</w:t>
            </w:r>
          </w:p>
        </w:tc>
        <w:tc>
          <w:tcPr>
            <w:tcW w:w="1020" w:type="dxa"/>
            <w:vAlign w:val="bottom"/>
          </w:tcPr>
          <w:p>
            <w:pPr>
              <w:spacing w:after="0"/>
              <w:rPr>
                <w:sz w:val="19"/>
                <w:szCs w:val="19"/>
                <w:color w:val="auto"/>
              </w:rPr>
            </w:pPr>
          </w:p>
        </w:tc>
      </w:tr>
      <w:tr>
        <w:trPr>
          <w:trHeight w:val="24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7"/>
        </w:trPr>
        <w:tc>
          <w:tcPr>
            <w:tcW w:w="528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2"/>
        </w:trPr>
        <w:tc>
          <w:tcPr>
            <w:tcW w:w="5280" w:type="dxa"/>
            <w:vAlign w:val="bottom"/>
            <w:gridSpan w:val="2"/>
          </w:tcPr>
          <w:p>
            <w:pPr>
              <w:ind w:left="340"/>
              <w:spacing w:after="0"/>
              <w:rPr>
                <w:sz w:val="20"/>
                <w:szCs w:val="20"/>
                <w:color w:val="auto"/>
              </w:rPr>
            </w:pPr>
            <w:r>
              <w:rPr>
                <w:rFonts w:ascii="Arial" w:cs="Arial" w:eastAsia="Arial" w:hAnsi="Arial"/>
                <w:sz w:val="18"/>
                <w:szCs w:val="18"/>
                <w:color w:val="auto"/>
              </w:rPr>
              <w:t>Platform operations</w:t>
            </w:r>
          </w:p>
        </w:tc>
        <w:tc>
          <w:tcPr>
            <w:tcW w:w="50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34"/>
        </w:trPr>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26"/>
        </w:trPr>
        <w:tc>
          <w:tcPr>
            <w:tcW w:w="5280" w:type="dxa"/>
            <w:vAlign w:val="bottom"/>
            <w:gridSpan w:val="2"/>
          </w:tcPr>
          <w:p>
            <w:pPr>
              <w:ind w:left="340"/>
              <w:spacing w:after="0"/>
              <w:rPr>
                <w:sz w:val="20"/>
                <w:szCs w:val="20"/>
                <w:color w:val="auto"/>
              </w:rPr>
            </w:pPr>
            <w:r>
              <w:rPr>
                <w:rFonts w:ascii="Arial" w:cs="Arial" w:eastAsia="Arial" w:hAnsi="Arial"/>
                <w:sz w:val="18"/>
                <w:szCs w:val="18"/>
                <w:color w:val="auto"/>
              </w:rPr>
              <w:t>Technology and development</w:t>
            </w:r>
          </w:p>
        </w:tc>
        <w:tc>
          <w:tcPr>
            <w:tcW w:w="5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40"/>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109 %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117 %</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129 %</w:t>
            </w:r>
          </w:p>
        </w:tc>
      </w:tr>
      <w:tr>
        <w:trPr>
          <w:trHeight w:val="22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 net</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2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6"/>
        </w:trPr>
        <w:tc>
          <w:tcPr>
            <w:tcW w:w="436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54"/>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Viant Technology Inc.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960" w:hanging="315"/>
        <w:spacing w:after="0"/>
        <w:tabs>
          <w:tab w:leader="none" w:pos="9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Percentages may not sum due to rounding</w:t>
      </w:r>
    </w:p>
    <w:p>
      <w:pPr>
        <w:spacing w:after="0" w:line="219" w:lineRule="exact"/>
        <w:rPr>
          <w:sz w:val="20"/>
          <w:szCs w:val="20"/>
          <w:color w:val="auto"/>
        </w:rPr>
      </w:pPr>
    </w:p>
    <w:p>
      <w:pPr>
        <w:ind w:left="960" w:hanging="315"/>
        <w:spacing w:after="0"/>
        <w:tabs>
          <w:tab w:leader="none" w:pos="9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Stock-based compensation, depreciation, and amortization included in operating expenses are as follows:</w:t>
      </w:r>
    </w:p>
    <w:p>
      <w:pPr>
        <w:spacing w:after="0" w:line="12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3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Arial" w:cs="Arial" w:eastAsia="Arial" w:hAnsi="Arial"/>
                <w:sz w:val="18"/>
                <w:szCs w:val="18"/>
                <w:b w:val="1"/>
                <w:bCs w:val="1"/>
                <w:color w:val="auto"/>
              </w:rPr>
              <w:t>Six Months Ended</w:t>
            </w:r>
          </w:p>
        </w:tc>
      </w:tr>
      <w:tr>
        <w:trPr>
          <w:trHeight w:val="231"/>
        </w:trPr>
        <w:tc>
          <w:tcPr>
            <w:tcW w:w="4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0"/>
        </w:trPr>
        <w:tc>
          <w:tcPr>
            <w:tcW w:w="4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411"/>
              <w:spacing w:after="0"/>
              <w:rPr>
                <w:sz w:val="20"/>
                <w:szCs w:val="20"/>
                <w:color w:val="auto"/>
              </w:rPr>
            </w:pPr>
            <w:r>
              <w:rPr>
                <w:rFonts w:ascii="Arial" w:cs="Arial" w:eastAsia="Arial" w:hAnsi="Arial"/>
                <w:sz w:val="18"/>
                <w:szCs w:val="18"/>
                <w:b w:val="1"/>
                <w:bCs w:val="1"/>
                <w:color w:val="auto"/>
              </w:rPr>
              <w:t>2022</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Stock-based compensation:</w:t>
            </w:r>
          </w:p>
        </w:tc>
        <w:tc>
          <w:tcPr>
            <w:tcW w:w="8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r>
      <w:tr>
        <w:trPr>
          <w:trHeight w:val="226"/>
        </w:trPr>
        <w:tc>
          <w:tcPr>
            <w:tcW w:w="4580" w:type="dxa"/>
            <w:vAlign w:val="bottom"/>
          </w:tcPr>
          <w:p>
            <w:pPr>
              <w:ind w:left="20"/>
              <w:spacing w:after="0"/>
              <w:rPr>
                <w:sz w:val="20"/>
                <w:szCs w:val="20"/>
                <w:color w:val="auto"/>
              </w:rPr>
            </w:pPr>
            <w:r>
              <w:rPr>
                <w:rFonts w:ascii="Arial" w:cs="Arial" w:eastAsia="Arial" w:hAnsi="Arial"/>
                <w:sz w:val="18"/>
                <w:szCs w:val="18"/>
                <w:color w:val="auto"/>
              </w:rPr>
              <w:t>Platform operations</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1,124</w:t>
            </w:r>
          </w:p>
        </w:tc>
        <w:tc>
          <w:tcPr>
            <w:tcW w:w="9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1,303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2,016</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2,389</w:t>
            </w:r>
          </w:p>
        </w:tc>
      </w:tr>
      <w:tr>
        <w:trPr>
          <w:trHeight w:val="24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2,520</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2,426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r>
      <w:tr>
        <w:trPr>
          <w:trHeight w:val="226"/>
        </w:trPr>
        <w:tc>
          <w:tcPr>
            <w:tcW w:w="458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1,507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1,425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2,594</w:t>
            </w:r>
          </w:p>
        </w:tc>
      </w:tr>
      <w:tr>
        <w:trPr>
          <w:trHeight w:val="22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3,378</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2,614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w:t>
            </w:r>
          </w:p>
        </w:tc>
      </w:tr>
      <w:tr>
        <w:trPr>
          <w:trHeight w:val="233"/>
        </w:trPr>
        <w:tc>
          <w:tcPr>
            <w:tcW w:w="458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8,529</w:t>
            </w:r>
          </w:p>
        </w:tc>
        <w:tc>
          <w:tcPr>
            <w:tcW w:w="9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7,768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16,001</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14,144</w:t>
            </w:r>
          </w:p>
        </w:tc>
      </w:tr>
      <w:tr>
        <w:trPr>
          <w:trHeight w:val="20"/>
        </w:trPr>
        <w:tc>
          <w:tcPr>
            <w:tcW w:w="4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3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5"/>
          </w:tcPr>
          <w:p>
            <w:pPr>
              <w:ind w:left="400"/>
              <w:spacing w:after="0"/>
              <w:rPr>
                <w:sz w:val="20"/>
                <w:szCs w:val="20"/>
                <w:color w:val="auto"/>
              </w:rPr>
            </w:pPr>
            <w:r>
              <w:rPr>
                <w:rFonts w:ascii="Arial" w:cs="Arial" w:eastAsia="Arial" w:hAnsi="Arial"/>
                <w:sz w:val="18"/>
                <w:szCs w:val="18"/>
                <w:b w:val="1"/>
                <w:bCs w:val="1"/>
                <w:color w:val="auto"/>
              </w:rPr>
              <w:t>Six Months Ended</w:t>
            </w:r>
          </w:p>
        </w:tc>
      </w:tr>
      <w:tr>
        <w:trPr>
          <w:trHeight w:val="231"/>
        </w:trPr>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0"/>
        </w:trPr>
        <w:tc>
          <w:tcPr>
            <w:tcW w:w="7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r>
      <w:tr>
        <w:trPr>
          <w:trHeight w:val="220"/>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w:t>
            </w:r>
          </w:p>
        </w:tc>
        <w:tc>
          <w:tcPr>
            <w:tcW w:w="8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tcPr>
          <w:p>
            <w:pPr>
              <w:spacing w:after="0"/>
              <w:rPr>
                <w:sz w:val="19"/>
                <w:szCs w:val="19"/>
                <w:color w:val="auto"/>
              </w:rPr>
            </w:pPr>
          </w:p>
        </w:tc>
      </w:tr>
      <w:tr>
        <w:trPr>
          <w:trHeight w:val="226"/>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Platform operations</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2,910</w:t>
            </w:r>
          </w:p>
        </w:tc>
        <w:tc>
          <w:tcPr>
            <w:tcW w:w="9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2,573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5,622</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4,709</w:t>
            </w:r>
          </w:p>
        </w:tc>
        <w:tc>
          <w:tcPr>
            <w:tcW w:w="220" w:type="dxa"/>
            <w:vAlign w:val="bottom"/>
          </w:tcPr>
          <w:p>
            <w:pPr>
              <w:spacing w:after="0"/>
              <w:rPr>
                <w:sz w:val="19"/>
                <w:szCs w:val="19"/>
                <w:color w:val="auto"/>
              </w:rPr>
            </w:pPr>
          </w:p>
        </w:tc>
      </w:tr>
      <w:tr>
        <w:trPr>
          <w:trHeight w:val="240"/>
        </w:trPr>
        <w:tc>
          <w:tcPr>
            <w:tcW w:w="720" w:type="dxa"/>
            <w:vAlign w:val="bottom"/>
          </w:tcPr>
          <w:p>
            <w:pPr>
              <w:spacing w:after="0"/>
              <w:rPr>
                <w:sz w:val="20"/>
                <w:szCs w:val="20"/>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26"/>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19"/>
                <w:szCs w:val="19"/>
                <w:color w:val="auto"/>
              </w:rPr>
            </w:pPr>
          </w:p>
        </w:tc>
      </w:tr>
      <w:tr>
        <w:trPr>
          <w:trHeight w:val="227"/>
        </w:trPr>
        <w:tc>
          <w:tcPr>
            <w:tcW w:w="72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9"/>
                <w:szCs w:val="19"/>
                <w:color w:val="auto"/>
              </w:rPr>
            </w:pPr>
          </w:p>
        </w:tc>
      </w:tr>
      <w:tr>
        <w:trPr>
          <w:trHeight w:val="233"/>
        </w:trPr>
        <w:tc>
          <w:tcPr>
            <w:tcW w:w="7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Total depreciation</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3,437</w:t>
            </w:r>
          </w:p>
        </w:tc>
        <w:tc>
          <w:tcPr>
            <w:tcW w:w="9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2,949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6,689</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5,816</w:t>
            </w:r>
          </w:p>
        </w:tc>
        <w:tc>
          <w:tcPr>
            <w:tcW w:w="220" w:type="dxa"/>
            <w:vAlign w:val="bottom"/>
          </w:tcPr>
          <w:p>
            <w:pPr>
              <w:spacing w:after="0"/>
              <w:rPr>
                <w:sz w:val="20"/>
                <w:szCs w:val="20"/>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711"/>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4"/>
        </w:trPr>
        <w:tc>
          <w:tcPr>
            <w:tcW w:w="7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ind w:left="4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Three Months Ended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gridSpan w:val="6"/>
          </w:tcPr>
          <w:p>
            <w:pPr>
              <w:jc w:val="right"/>
              <w:ind w:right="61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671"/>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5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Platform operations</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720" w:type="dxa"/>
            <w:vAlign w:val="bottom"/>
          </w:tcPr>
          <w:p>
            <w:pPr>
              <w:spacing w:after="0"/>
              <w:rPr>
                <w:sz w:val="20"/>
                <w:szCs w:val="20"/>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amortization</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231F20"/>
                <w:w w:val="95"/>
              </w:rPr>
              <w:t>Comparison of the Three Months Ended June 30, 2023 and 2022</w:t>
            </w: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240" w:type="dxa"/>
            <w:vAlign w:val="bottom"/>
            <w:gridSpan w:val="2"/>
          </w:tcPr>
          <w:p>
            <w:pPr>
              <w:spacing w:after="0"/>
              <w:rPr>
                <w:sz w:val="20"/>
                <w:szCs w:val="20"/>
                <w:color w:val="auto"/>
              </w:rPr>
            </w:pPr>
            <w:r>
              <w:rPr>
                <w:rFonts w:ascii="Arial" w:cs="Arial" w:eastAsia="Arial" w:hAnsi="Arial"/>
                <w:sz w:val="18"/>
                <w:szCs w:val="18"/>
                <w:b w:val="1"/>
                <w:bCs w:val="1"/>
                <w:i w:val="1"/>
                <w:iCs w:val="1"/>
                <w:color w:val="231F20"/>
              </w:rPr>
              <w:t>Revenue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5"/>
            <w:vMerge w:val="restart"/>
          </w:tcPr>
          <w:p>
            <w:pPr>
              <w:jc w:val="right"/>
              <w:ind w:right="1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57,223</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51,200</w:t>
            </w: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80" w:firstLine="479"/>
        <w:spacing w:after="0" w:line="253" w:lineRule="auto"/>
        <w:rPr>
          <w:sz w:val="20"/>
          <w:szCs w:val="20"/>
          <w:color w:val="auto"/>
        </w:rPr>
      </w:pPr>
      <w:r>
        <w:rPr>
          <w:rFonts w:ascii="Arial" w:cs="Arial" w:eastAsia="Arial" w:hAnsi="Arial"/>
          <w:sz w:val="18"/>
          <w:szCs w:val="18"/>
          <w:color w:val="231F20"/>
        </w:rPr>
        <w:t>Revenue increased by $6.0 million, or 12%, during the three months ended June 30, 2023 compared to the three months ended June 30, 2022. The increase was primarily due to a 60% increase in revenue from marketers in the retail industry vertical and a 2% increase in all other industry verticals. Additionally, approximately 96% of our revenue for the three months ended June 30, 2023 came from customers that had been customers during the three months ended June 30,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5080" w:type="dxa"/>
            <w:vAlign w:val="bottom"/>
            <w:gridSpan w:val="2"/>
          </w:tcPr>
          <w:p>
            <w:pPr>
              <w:spacing w:after="0"/>
              <w:rPr>
                <w:sz w:val="20"/>
                <w:szCs w:val="20"/>
                <w:color w:val="auto"/>
              </w:rPr>
            </w:pPr>
            <w:r>
              <w:rPr>
                <w:rFonts w:ascii="Arial" w:cs="Arial" w:eastAsia="Arial" w:hAnsi="Arial"/>
                <w:sz w:val="18"/>
                <w:szCs w:val="18"/>
                <w:i w:val="1"/>
                <w:iCs w:val="1"/>
                <w:color w:val="231F20"/>
              </w:rPr>
              <w:t>Platform Operations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591"/>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Traffic acquisition costs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23,535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19,465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88"/>
              </w:rPr>
              <w:t>4,070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9"/>
        </w:trPr>
        <w:tc>
          <w:tcPr>
            <w:tcW w:w="720" w:type="dxa"/>
            <w:vAlign w:val="bottom"/>
          </w:tcPr>
          <w:p>
            <w:pPr>
              <w:spacing w:after="0"/>
              <w:rPr>
                <w:sz w:val="20"/>
                <w:szCs w:val="20"/>
                <w:color w:val="auto"/>
              </w:rPr>
            </w:pPr>
          </w:p>
        </w:tc>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platform operations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9,988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11,485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271"/>
              <w:spacing w:after="0"/>
              <w:rPr>
                <w:sz w:val="20"/>
                <w:szCs w:val="20"/>
                <w:color w:val="auto"/>
              </w:rPr>
            </w:pPr>
            <w:r>
              <w:rPr>
                <w:rFonts w:ascii="Arial" w:cs="Arial" w:eastAsia="Arial" w:hAnsi="Arial"/>
                <w:sz w:val="18"/>
                <w:szCs w:val="18"/>
                <w:color w:val="auto"/>
                <w:w w:val="91"/>
              </w:rPr>
              <w:t>(1,497)</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platform operations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33,523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30,950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88"/>
              </w:rPr>
              <w:t>2,573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2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Arial" w:cs="Arial" w:eastAsia="Arial" w:hAnsi="Arial"/>
                <w:sz w:val="18"/>
                <w:szCs w:val="18"/>
                <w:color w:val="auto"/>
              </w:rPr>
              <w:t>59 %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198" w:lineRule="exact"/>
              <w:rPr>
                <w:sz w:val="20"/>
                <w:szCs w:val="20"/>
                <w:color w:val="auto"/>
              </w:rPr>
            </w:pPr>
            <w:r>
              <w:rPr>
                <w:rFonts w:ascii="Arial" w:cs="Arial" w:eastAsia="Arial" w:hAnsi="Arial"/>
                <w:sz w:val="18"/>
                <w:szCs w:val="18"/>
                <w:color w:val="auto"/>
              </w:rPr>
              <w:t>60 %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479"/>
        <w:spacing w:after="0" w:line="286" w:lineRule="auto"/>
        <w:rPr>
          <w:sz w:val="20"/>
          <w:szCs w:val="20"/>
          <w:color w:val="auto"/>
        </w:rPr>
      </w:pPr>
      <w:r>
        <w:rPr>
          <w:rFonts w:ascii="Arial" w:cs="Arial" w:eastAsia="Arial" w:hAnsi="Arial"/>
          <w:sz w:val="16"/>
          <w:szCs w:val="16"/>
          <w:color w:val="231F20"/>
        </w:rPr>
        <w:t>Platform operations expense increased by $2.6 million, or 8%, during the three months ended June 30, 2023 compared to the three months ended June 30, 2022. This increase was driven by a $4.1 million increase in traffic acquisition costs (“TAC”), a variable function of revenue related to our fixed CPM pricing option and certain arrangements related to our percentage of spend pricing option. TAC represent amounts incurred and payable to suppliers for the cost of advertising media, third-party data and other add-on features. The increase in TAC was partially offset by a decrease in other platform operations expense resulting primarily from a $0.7 million decrease in cloud costs driven by continued efforts to increase cloud infrastructure efficiencies, a $0.4 million decrease in personnel costs, a $0.3 million decrease in third-party costs in support of our Adelphic platform, and a $0.2 million decrease in stock-based compensation, partially offset by a $0.1 million increase in depreciation and amortization driven by our continued investment in developed technology.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80" w:type="dxa"/>
            <w:vAlign w:val="bottom"/>
            <w:gridSpan w:val="2"/>
          </w:tcPr>
          <w:p>
            <w:pPr>
              <w:spacing w:after="0"/>
              <w:rPr>
                <w:sz w:val="20"/>
                <w:szCs w:val="20"/>
                <w:color w:val="auto"/>
              </w:rPr>
            </w:pPr>
            <w:r>
              <w:rPr>
                <w:rFonts w:ascii="Arial" w:cs="Arial" w:eastAsia="Arial" w:hAnsi="Arial"/>
                <w:sz w:val="18"/>
                <w:szCs w:val="18"/>
                <w:i w:val="1"/>
                <w:iCs w:val="1"/>
                <w:color w:val="231F20"/>
              </w:rPr>
              <w:t>Sales and Marketing</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center"/>
              <w:ind w:right="231"/>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1"/>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11,691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17,286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280" w:firstLine="479"/>
        <w:spacing w:after="0" w:line="266" w:lineRule="auto"/>
        <w:rPr>
          <w:sz w:val="20"/>
          <w:szCs w:val="20"/>
          <w:color w:val="auto"/>
        </w:rPr>
      </w:pPr>
      <w:r>
        <w:rPr>
          <w:rFonts w:ascii="Arial" w:cs="Arial" w:eastAsia="Arial" w:hAnsi="Arial"/>
          <w:sz w:val="18"/>
          <w:szCs w:val="18"/>
          <w:color w:val="231F20"/>
        </w:rPr>
        <w:t>Sales and marketing expense decreased by $5.6 million, or 32%, during the three months ended June 30, 2023 compared to the three months ended June 30, 2022. This decrease was primarily due to a $2.8 million decrease in personnel costs driven by a decrease</w:t>
      </w:r>
    </w:p>
    <w:p>
      <w:pPr>
        <w:spacing w:after="0" w:line="39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jc w:val="center"/>
        <w:ind w:left="48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341" w:lineRule="exact"/>
        <w:rPr>
          <w:sz w:val="20"/>
          <w:szCs w:val="20"/>
          <w:color w:val="auto"/>
        </w:rPr>
      </w:pPr>
    </w:p>
    <w:p>
      <w:pPr>
        <w:spacing w:after="0" w:line="266" w:lineRule="auto"/>
        <w:rPr>
          <w:sz w:val="20"/>
          <w:szCs w:val="20"/>
          <w:color w:val="auto"/>
        </w:rPr>
      </w:pPr>
      <w:r>
        <w:rPr>
          <w:rFonts w:ascii="Arial" w:cs="Arial" w:eastAsia="Arial" w:hAnsi="Arial"/>
          <w:sz w:val="18"/>
          <w:szCs w:val="18"/>
          <w:color w:val="231F20"/>
        </w:rPr>
        <w:t xml:space="preserve">in sales and marketing headcount, </w:t>
      </w:r>
      <w:r>
        <w:rPr>
          <w:rFonts w:ascii="Arial" w:cs="Arial" w:eastAsia="Arial" w:hAnsi="Arial"/>
          <w:sz w:val="18"/>
          <w:szCs w:val="18"/>
          <w:color w:val="221F1F"/>
        </w:rPr>
        <w:t>a $2.4 million</w:t>
      </w:r>
      <w:r>
        <w:rPr>
          <w:rFonts w:ascii="Arial" w:cs="Arial" w:eastAsia="Arial" w:hAnsi="Arial"/>
          <w:sz w:val="18"/>
          <w:szCs w:val="18"/>
          <w:color w:val="231F20"/>
        </w:rPr>
        <w:t xml:space="preserve"> decrease in advertising expense, and a $0.2 million decrease in travel and entertainment, partially offset by a $0.1 million increase in stock-based compensation.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00" w:type="dxa"/>
            <w:vAlign w:val="bottom"/>
            <w:gridSpan w:val="2"/>
          </w:tcPr>
          <w:p>
            <w:pPr>
              <w:spacing w:after="0"/>
              <w:rPr>
                <w:sz w:val="20"/>
                <w:szCs w:val="20"/>
                <w:color w:val="auto"/>
              </w:rPr>
            </w:pPr>
            <w:r>
              <w:rPr>
                <w:rFonts w:ascii="Arial" w:cs="Arial" w:eastAsia="Arial" w:hAnsi="Arial"/>
                <w:sz w:val="18"/>
                <w:szCs w:val="18"/>
                <w:i w:val="1"/>
                <w:iCs w:val="1"/>
                <w:color w:val="231F20"/>
              </w:rPr>
              <w:t>Technology and Development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center"/>
              <w:ind w:right="231"/>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1"/>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6,172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5,011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20" w:firstLine="479"/>
        <w:spacing w:after="0" w:line="253" w:lineRule="auto"/>
        <w:rPr>
          <w:sz w:val="20"/>
          <w:szCs w:val="20"/>
          <w:color w:val="auto"/>
        </w:rPr>
      </w:pPr>
      <w:r>
        <w:rPr>
          <w:rFonts w:ascii="Arial" w:cs="Arial" w:eastAsia="Arial" w:hAnsi="Arial"/>
          <w:sz w:val="18"/>
          <w:szCs w:val="18"/>
          <w:color w:val="231F20"/>
        </w:rPr>
        <w:t>Technology and development expense increased by $1.2 million, or 23%, during the three months ended June 30, 2023 compared to the three months ended June 30, 2022. This increase was primarily due to a $0.9 million increase in personnel costs, a $0.2 million increase in depreciation driven by our continued investment in developed technology, and a $0.1 million increase in stock-based compensation, partially offset by a $0.2 million decrease in cloud costs due to continued efforts to increase cloud infrastructure efficiencies.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00" w:type="dxa"/>
            <w:vAlign w:val="bottom"/>
            <w:gridSpan w:val="2"/>
          </w:tcPr>
          <w:p>
            <w:pPr>
              <w:spacing w:after="0"/>
              <w:rPr>
                <w:sz w:val="20"/>
                <w:szCs w:val="20"/>
                <w:color w:val="auto"/>
              </w:rPr>
            </w:pPr>
            <w:r>
              <w:rPr>
                <w:rFonts w:ascii="Arial" w:cs="Arial" w:eastAsia="Arial" w:hAnsi="Arial"/>
                <w:sz w:val="18"/>
                <w:szCs w:val="18"/>
                <w:i w:val="1"/>
                <w:iCs w:val="1"/>
                <w:color w:val="231F20"/>
              </w:rPr>
              <w:t>General and Administrative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16"/>
        </w:trPr>
        <w:tc>
          <w:tcPr>
            <w:tcW w:w="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center"/>
              <w:ind w:right="231"/>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1"/>
        </w:trPr>
        <w:tc>
          <w:tcPr>
            <w:tcW w:w="7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1"/>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r>
      <w:tr>
        <w:trPr>
          <w:trHeight w:val="220"/>
        </w:trPr>
        <w:tc>
          <w:tcPr>
            <w:tcW w:w="7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w:t>
            </w:r>
          </w:p>
        </w:tc>
      </w:tr>
      <w:tr>
        <w:trPr>
          <w:trHeight w:val="233"/>
        </w:trPr>
        <w:tc>
          <w:tcPr>
            <w:tcW w:w="720" w:type="dxa"/>
            <w:vAlign w:val="bottom"/>
          </w:tcPr>
          <w:p>
            <w:pPr>
              <w:spacing w:after="0"/>
              <w:rPr>
                <w:sz w:val="20"/>
                <w:szCs w:val="20"/>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11,088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11,725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7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189" w:lineRule="exact"/>
        <w:rPr>
          <w:sz w:val="20"/>
          <w:szCs w:val="20"/>
          <w:color w:val="auto"/>
        </w:rPr>
      </w:pPr>
    </w:p>
    <w:p>
      <w:pPr>
        <w:ind w:firstLine="479"/>
        <w:spacing w:after="0" w:line="295" w:lineRule="auto"/>
        <w:rPr>
          <w:sz w:val="20"/>
          <w:szCs w:val="20"/>
          <w:color w:val="auto"/>
        </w:rPr>
      </w:pPr>
      <w:r>
        <w:rPr>
          <w:rFonts w:ascii="Arial" w:cs="Arial" w:eastAsia="Arial" w:hAnsi="Arial"/>
          <w:sz w:val="16"/>
          <w:szCs w:val="16"/>
          <w:color w:val="231F20"/>
        </w:rPr>
        <w:t>General and administrative expense decreased by $0.6 million, or 5%, during the three months ended June 30, 2023 compared to the three months ended June 30, 2022. This decrease was primarily attributable to a $1.0 million decrease in business insurance and tax, accounting, legal, and consulting expenses associated with general corporate and compliance matters, a $0.5 million decrease in travel and entertainment expenses, and a $0.3 million decrease in recruiting expenses, partially offset by a $0.8 million increase in stock-based compensation and a $0.3 million increase in personnel costs.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00" w:type="dxa"/>
            <w:vAlign w:val="bottom"/>
            <w:gridSpan w:val="2"/>
          </w:tcPr>
          <w:p>
            <w:pPr>
              <w:spacing w:after="0"/>
              <w:rPr>
                <w:sz w:val="20"/>
                <w:szCs w:val="20"/>
                <w:color w:val="auto"/>
              </w:rPr>
            </w:pPr>
            <w:r>
              <w:rPr>
                <w:rFonts w:ascii="Arial" w:cs="Arial" w:eastAsia="Arial" w:hAnsi="Arial"/>
                <w:sz w:val="18"/>
                <w:szCs w:val="18"/>
                <w:i w:val="1"/>
                <w:iCs w:val="1"/>
                <w:color w:val="231F20"/>
              </w:rPr>
              <w:t>Total Other Expense (Income), Net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gridSpan w:val="3"/>
          </w:tcPr>
          <w:p>
            <w:pPr>
              <w:jc w:val="center"/>
              <w:ind w:left="91"/>
              <w:spacing w:after="0"/>
              <w:rPr>
                <w:sz w:val="20"/>
                <w:szCs w:val="20"/>
                <w:color w:val="auto"/>
              </w:rPr>
            </w:pPr>
            <w:r>
              <w:rPr>
                <w:rFonts w:ascii="Arial" w:cs="Arial" w:eastAsia="Arial" w:hAnsi="Arial"/>
                <w:sz w:val="18"/>
                <w:szCs w:val="18"/>
                <w:b w:val="1"/>
                <w:bCs w:val="1"/>
                <w:color w:val="auto"/>
                <w:w w:val="89"/>
              </w:rPr>
              <w:t>Three Months Ended</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center"/>
              <w:ind w:left="91"/>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(2,048)</w:t>
            </w:r>
          </w:p>
        </w:tc>
        <w:tc>
          <w:tcPr>
            <w:tcW w:w="1020" w:type="dxa"/>
            <w:vAlign w:val="bottom"/>
            <w:gridSpan w:val="2"/>
            <w:shd w:val="clear" w:color="auto" w:fill="CCEEFF"/>
          </w:tcPr>
          <w:p>
            <w:pPr>
              <w:jc w:val="right"/>
              <w:ind w:right="73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3"/>
              </w:rPr>
              <w:t>320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80"/>
        <w:spacing w:after="0"/>
        <w:rPr>
          <w:sz w:val="20"/>
          <w:szCs w:val="20"/>
          <w:color w:val="auto"/>
        </w:rPr>
      </w:pPr>
      <w:r>
        <w:rPr>
          <w:rFonts w:ascii="Arial" w:cs="Arial" w:eastAsia="Arial" w:hAnsi="Arial"/>
          <w:sz w:val="16"/>
          <w:szCs w:val="16"/>
          <w:color w:val="231F20"/>
        </w:rPr>
        <w:t>Total other income for the three months ended June 30, 2023 was $2.0 million compared to total other expense of $0.3 million for the same period in</w:t>
      </w:r>
    </w:p>
    <w:p>
      <w:pPr>
        <w:spacing w:after="0" w:line="40" w:lineRule="exact"/>
        <w:rPr>
          <w:sz w:val="20"/>
          <w:szCs w:val="20"/>
          <w:color w:val="auto"/>
        </w:rPr>
      </w:pPr>
    </w:p>
    <w:p>
      <w:pPr>
        <w:ind w:right="440"/>
        <w:spacing w:after="0" w:line="315" w:lineRule="auto"/>
        <w:rPr>
          <w:sz w:val="20"/>
          <w:szCs w:val="20"/>
          <w:color w:val="auto"/>
        </w:rPr>
      </w:pPr>
      <w:r>
        <w:rPr>
          <w:rFonts w:ascii="Arial" w:cs="Arial" w:eastAsia="Arial" w:hAnsi="Arial"/>
          <w:sz w:val="16"/>
          <w:szCs w:val="16"/>
          <w:color w:val="231F20"/>
        </w:rPr>
        <w:t>2022. The change from the prior year was primarily due to higher interest income on cash and cash equivalents and lower interest expense as a result of paying off the full outstanding balance under our revolving credit facility with PNC Bank, National Association (“PNC Bank”) in May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Comparison of the Six Months Ended June 30, 2023 and 2022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w:t>
      </w:r>
    </w:p>
    <w:p>
      <w:pPr>
        <w:spacing w:after="0" w:line="12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4"/>
          </w:tcPr>
          <w:p>
            <w:pPr>
              <w:jc w:val="center"/>
              <w:ind w:right="231"/>
              <w:spacing w:after="0"/>
              <w:rPr>
                <w:sz w:val="20"/>
                <w:szCs w:val="20"/>
                <w:color w:val="auto"/>
              </w:rPr>
            </w:pPr>
            <w:r>
              <w:rPr>
                <w:rFonts w:ascii="Arial" w:cs="Arial" w:eastAsia="Arial" w:hAnsi="Arial"/>
                <w:sz w:val="18"/>
                <w:szCs w:val="18"/>
                <w:b w:val="1"/>
                <w:bCs w:val="1"/>
                <w:color w:val="auto"/>
                <w:w w:val="89"/>
              </w:rPr>
              <w:t>Six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4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571"/>
              <w:spacing w:after="0"/>
              <w:rPr>
                <w:sz w:val="20"/>
                <w:szCs w:val="20"/>
                <w:color w:val="auto"/>
              </w:rPr>
            </w:pPr>
            <w:r>
              <w:rPr>
                <w:rFonts w:ascii="Arial" w:cs="Arial" w:eastAsia="Arial" w:hAnsi="Arial"/>
                <w:sz w:val="18"/>
                <w:szCs w:val="18"/>
                <w:b w:val="1"/>
                <w:bCs w:val="1"/>
                <w:color w:val="auto"/>
                <w:w w:val="85"/>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rPr>
              <w:t>Change</w:t>
            </w:r>
          </w:p>
        </w:tc>
        <w:tc>
          <w:tcPr>
            <w:tcW w:w="1000" w:type="dxa"/>
            <w:vAlign w:val="bottom"/>
            <w:tcBorders>
              <w:bottom w:val="single" w:sz="8" w:color="auto"/>
            </w:tcBorders>
          </w:tcPr>
          <w:p>
            <w:pPr>
              <w:spacing w:after="0"/>
              <w:rPr>
                <w:sz w:val="20"/>
                <w:szCs w:val="20"/>
                <w:color w:val="auto"/>
              </w:rPr>
            </w:pPr>
          </w:p>
        </w:tc>
      </w:tr>
      <w:tr>
        <w:trPr>
          <w:trHeight w:val="220"/>
        </w:trPr>
        <w:tc>
          <w:tcPr>
            <w:tcW w:w="4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w:t>
            </w:r>
          </w:p>
        </w:tc>
      </w:tr>
      <w:tr>
        <w:trPr>
          <w:trHeight w:val="23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bl>
    <w:p>
      <w:pPr>
        <w:spacing w:after="0" w:line="174" w:lineRule="exact"/>
        <w:rPr>
          <w:sz w:val="20"/>
          <w:szCs w:val="20"/>
          <w:color w:val="auto"/>
        </w:rPr>
      </w:pPr>
    </w:p>
    <w:p>
      <w:pPr>
        <w:ind w:right="60" w:firstLine="479"/>
        <w:spacing w:after="0" w:line="273" w:lineRule="auto"/>
        <w:rPr>
          <w:sz w:val="20"/>
          <w:szCs w:val="20"/>
          <w:color w:val="auto"/>
        </w:rPr>
      </w:pPr>
      <w:r>
        <w:rPr>
          <w:rFonts w:ascii="Arial" w:cs="Arial" w:eastAsia="Arial" w:hAnsi="Arial"/>
          <w:sz w:val="17"/>
          <w:szCs w:val="17"/>
          <w:color w:val="231F20"/>
        </w:rPr>
        <w:t>Revenue increased by $5.1 million, or 5%, during the six months ended June 30, 2023 compared to the six months ended June 30, 2022. This increase was primarily due to a 29% increase in revenue from marketers in the retail, public services, and consumer goods industry verticals. This increase was partially offset by a 13% decrease in revenue from marketers in all other industry verticals. Additionally, approximately 95% of our revenue for the six months ended June 30, 2023 came from customers that had been customers during the six months ended June 30, 2022.</w:t>
      </w:r>
    </w:p>
    <w:p>
      <w:pPr>
        <w:spacing w:after="0" w:line="38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jc w:val="center"/>
        <w:ind w:left="4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5080" w:type="dxa"/>
            <w:vAlign w:val="bottom"/>
            <w:gridSpan w:val="2"/>
          </w:tcPr>
          <w:p>
            <w:pPr>
              <w:spacing w:after="0"/>
              <w:rPr>
                <w:sz w:val="20"/>
                <w:szCs w:val="20"/>
                <w:color w:val="auto"/>
              </w:rPr>
            </w:pPr>
            <w:r>
              <w:rPr>
                <w:rFonts w:ascii="Arial" w:cs="Arial" w:eastAsia="Arial" w:hAnsi="Arial"/>
                <w:sz w:val="18"/>
                <w:szCs w:val="18"/>
                <w:i w:val="1"/>
                <w:iCs w:val="1"/>
                <w:color w:val="231F20"/>
              </w:rPr>
              <w:t>Platform Operations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711"/>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Traffic acquisition costs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37,264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34,550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9"/>
        </w:trPr>
        <w:tc>
          <w:tcPr>
            <w:tcW w:w="720" w:type="dxa"/>
            <w:vAlign w:val="bottom"/>
          </w:tcPr>
          <w:p>
            <w:pPr>
              <w:spacing w:after="0"/>
              <w:rPr>
                <w:sz w:val="20"/>
                <w:szCs w:val="20"/>
                <w:color w:val="auto"/>
              </w:rPr>
            </w:pPr>
          </w:p>
        </w:tc>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platform operations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19,596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22,594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platform operations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56,860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57,144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2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Arial" w:cs="Arial" w:eastAsia="Arial" w:hAnsi="Arial"/>
                <w:sz w:val="18"/>
                <w:szCs w:val="18"/>
                <w:color w:val="auto"/>
              </w:rPr>
              <w:t>57 %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198" w:lineRule="exact"/>
              <w:rPr>
                <w:sz w:val="20"/>
                <w:szCs w:val="20"/>
                <w:color w:val="auto"/>
              </w:rPr>
            </w:pPr>
            <w:r>
              <w:rPr>
                <w:rFonts w:ascii="Arial" w:cs="Arial" w:eastAsia="Arial" w:hAnsi="Arial"/>
                <w:sz w:val="18"/>
                <w:szCs w:val="18"/>
                <w:color w:val="auto"/>
              </w:rPr>
              <w:t>61 %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479"/>
        <w:spacing w:after="0" w:line="288" w:lineRule="auto"/>
        <w:rPr>
          <w:sz w:val="20"/>
          <w:szCs w:val="20"/>
          <w:color w:val="auto"/>
        </w:rPr>
      </w:pPr>
      <w:r>
        <w:rPr>
          <w:rFonts w:ascii="Arial" w:cs="Arial" w:eastAsia="Arial" w:hAnsi="Arial"/>
          <w:sz w:val="16"/>
          <w:szCs w:val="16"/>
          <w:color w:val="231F20"/>
        </w:rPr>
        <w:t>Platform operations expense decreased by $0.3 million during the six months ended June 30, 2023 compared to the six months ended June 30, 2022. This decrease was driven by a decrease in other platform operations expense, including a $1.3 million decrease in cloud costs due to continued efforts to increase cloud infrastructure efficiencies, a $0.9 million decrease in third-party costs in support of our Adelphic platform, a $0.8 million decrease in personnel costs due to decreased headcount, and a $0.4 million decrease in stock-based compensation. The decrease was partially offset by a $2.7 million increase in TAC, a variable function of revenue related to our fixed CPM pricing option, and certain arrangements related to our percentage of spend pricing option, and a $0.9 million increase in depreciation related to our continued investment in developed technology.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80" w:type="dxa"/>
            <w:vAlign w:val="bottom"/>
            <w:gridSpan w:val="2"/>
          </w:tcPr>
          <w:p>
            <w:pPr>
              <w:spacing w:after="0"/>
              <w:rPr>
                <w:sz w:val="20"/>
                <w:szCs w:val="20"/>
                <w:color w:val="auto"/>
              </w:rPr>
            </w:pPr>
            <w:r>
              <w:rPr>
                <w:rFonts w:ascii="Arial" w:cs="Arial" w:eastAsia="Arial" w:hAnsi="Arial"/>
                <w:sz w:val="18"/>
                <w:szCs w:val="18"/>
                <w:i w:val="1"/>
                <w:iCs w:val="1"/>
                <w:color w:val="231F20"/>
              </w:rPr>
              <w:t>Sales and Marketing</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center"/>
              <w:ind w:right="231"/>
              <w:spacing w:after="0"/>
              <w:rPr>
                <w:sz w:val="20"/>
                <w:szCs w:val="20"/>
                <w:color w:val="auto"/>
              </w:rPr>
            </w:pPr>
            <w:r>
              <w:rPr>
                <w:rFonts w:ascii="Arial" w:cs="Arial" w:eastAsia="Arial" w:hAnsi="Arial"/>
                <w:sz w:val="18"/>
                <w:szCs w:val="18"/>
                <w:b w:val="1"/>
                <w:bCs w:val="1"/>
                <w:color w:val="auto"/>
                <w:w w:val="89"/>
              </w:rPr>
              <w:t>Six Months Ended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1"/>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23,860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31,042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320" w:firstLine="479"/>
        <w:spacing w:after="0" w:line="325" w:lineRule="auto"/>
        <w:rPr>
          <w:sz w:val="20"/>
          <w:szCs w:val="20"/>
          <w:color w:val="auto"/>
        </w:rPr>
      </w:pPr>
      <w:r>
        <w:rPr>
          <w:rFonts w:ascii="Arial" w:cs="Arial" w:eastAsia="Arial" w:hAnsi="Arial"/>
          <w:sz w:val="14"/>
          <w:szCs w:val="14"/>
          <w:color w:val="231F20"/>
        </w:rPr>
        <w:t xml:space="preserve">Sales and marketing expense decreased by $7.2 million, or 23%, during the six months ended June 30, 2023 compared to the six months ended June 30, 2022. This decrease was primarily driven by a $4.7 million decrease in personnel costs due to a decrease in sales and marketing headcount and </w:t>
      </w:r>
      <w:r>
        <w:rPr>
          <w:rFonts w:ascii="Arial" w:cs="Arial" w:eastAsia="Arial" w:hAnsi="Arial"/>
          <w:sz w:val="14"/>
          <w:szCs w:val="14"/>
          <w:color w:val="221F1F"/>
        </w:rPr>
        <w:t>a</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21F1F"/>
        </w:rPr>
        <w:t xml:space="preserve">$3.1 million </w:t>
      </w:r>
      <w:r>
        <w:rPr>
          <w:rFonts w:ascii="Arial" w:cs="Arial" w:eastAsia="Arial" w:hAnsi="Arial"/>
          <w:sz w:val="18"/>
          <w:szCs w:val="18"/>
          <w:color w:val="231F20"/>
        </w:rPr>
        <w:t>decrease in advertising expense, partially offset by a $0.4 million increase in stock-based compensation and a $0.3 million increase in travel and</w:t>
      </w:r>
      <w:r>
        <w:rPr>
          <w:rFonts w:ascii="Arial" w:cs="Arial" w:eastAsia="Arial" w:hAnsi="Arial"/>
          <w:sz w:val="18"/>
          <w:szCs w:val="18"/>
          <w:color w:val="221F1F"/>
        </w:rPr>
        <w:t xml:space="preserve"> </w:t>
      </w:r>
      <w:r>
        <w:rPr>
          <w:rFonts w:ascii="Arial" w:cs="Arial" w:eastAsia="Arial" w:hAnsi="Arial"/>
          <w:sz w:val="18"/>
          <w:szCs w:val="18"/>
          <w:color w:val="231F20"/>
        </w:rPr>
        <w:t>entertainment expense.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00" w:type="dxa"/>
            <w:vAlign w:val="bottom"/>
            <w:gridSpan w:val="2"/>
          </w:tcPr>
          <w:p>
            <w:pPr>
              <w:spacing w:after="0"/>
              <w:rPr>
                <w:sz w:val="20"/>
                <w:szCs w:val="20"/>
                <w:color w:val="auto"/>
              </w:rPr>
            </w:pPr>
            <w:r>
              <w:rPr>
                <w:rFonts w:ascii="Arial" w:cs="Arial" w:eastAsia="Arial" w:hAnsi="Arial"/>
                <w:sz w:val="18"/>
                <w:szCs w:val="18"/>
                <w:i w:val="1"/>
                <w:iCs w:val="1"/>
                <w:color w:val="231F20"/>
              </w:rPr>
              <w:t>Technology and Development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16"/>
        </w:trPr>
        <w:tc>
          <w:tcPr>
            <w:tcW w:w="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center"/>
              <w:ind w:right="231"/>
              <w:spacing w:after="0"/>
              <w:rPr>
                <w:sz w:val="20"/>
                <w:szCs w:val="20"/>
                <w:color w:val="auto"/>
              </w:rPr>
            </w:pPr>
            <w:r>
              <w:rPr>
                <w:rFonts w:ascii="Arial" w:cs="Arial" w:eastAsia="Arial" w:hAnsi="Arial"/>
                <w:sz w:val="18"/>
                <w:szCs w:val="18"/>
                <w:b w:val="1"/>
                <w:bCs w:val="1"/>
                <w:color w:val="auto"/>
                <w:w w:val="89"/>
              </w:rPr>
              <w:t>Six Months Ended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1"/>
        </w:trPr>
        <w:tc>
          <w:tcPr>
            <w:tcW w:w="7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1"/>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r>
      <w:tr>
        <w:trPr>
          <w:trHeight w:val="220"/>
        </w:trPr>
        <w:tc>
          <w:tcPr>
            <w:tcW w:w="7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w:t>
            </w:r>
          </w:p>
        </w:tc>
      </w:tr>
      <w:tr>
        <w:trPr>
          <w:trHeight w:val="233"/>
        </w:trPr>
        <w:tc>
          <w:tcPr>
            <w:tcW w:w="720" w:type="dxa"/>
            <w:vAlign w:val="bottom"/>
          </w:tcPr>
          <w:p>
            <w:pPr>
              <w:spacing w:after="0"/>
              <w:rPr>
                <w:sz w:val="20"/>
                <w:szCs w:val="20"/>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12,066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10,014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5"/>
        </w:trPr>
        <w:tc>
          <w:tcPr>
            <w:tcW w:w="7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189" w:lineRule="exact"/>
        <w:rPr>
          <w:sz w:val="20"/>
          <w:szCs w:val="20"/>
          <w:color w:val="auto"/>
        </w:rPr>
      </w:pPr>
    </w:p>
    <w:p>
      <w:pPr>
        <w:ind w:right="200" w:firstLine="479"/>
        <w:spacing w:after="0" w:line="253" w:lineRule="auto"/>
        <w:rPr>
          <w:sz w:val="20"/>
          <w:szCs w:val="20"/>
          <w:color w:val="auto"/>
        </w:rPr>
      </w:pPr>
      <w:r>
        <w:rPr>
          <w:rFonts w:ascii="Arial" w:cs="Arial" w:eastAsia="Arial" w:hAnsi="Arial"/>
          <w:sz w:val="18"/>
          <w:szCs w:val="18"/>
          <w:color w:val="231F20"/>
        </w:rPr>
        <w:t>Technology and development expense increased by $2.1 million, or 20%, during the six months ended June 30, 2023 compared to the six months ended June 30, 2022. This increase was primarily attributable to a $1.5 million increase in personnel costs as a result of an increase in headcount to support our continued investment in developed technology, a $0.3 million increase in facilities expense, and a $0.2 million increase in stock-based compensation, which was partially offset by a $0.2 million decrease in professional services.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00" w:type="dxa"/>
            <w:vAlign w:val="bottom"/>
            <w:gridSpan w:val="2"/>
          </w:tcPr>
          <w:p>
            <w:pPr>
              <w:spacing w:after="0"/>
              <w:rPr>
                <w:sz w:val="20"/>
                <w:szCs w:val="20"/>
                <w:color w:val="auto"/>
              </w:rPr>
            </w:pPr>
            <w:r>
              <w:rPr>
                <w:rFonts w:ascii="Arial" w:cs="Arial" w:eastAsia="Arial" w:hAnsi="Arial"/>
                <w:sz w:val="18"/>
                <w:szCs w:val="18"/>
                <w:i w:val="1"/>
                <w:iCs w:val="1"/>
                <w:color w:val="231F20"/>
              </w:rPr>
              <w:t>General and Administrative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center"/>
              <w:ind w:right="231"/>
              <w:spacing w:after="0"/>
              <w:rPr>
                <w:sz w:val="20"/>
                <w:szCs w:val="20"/>
                <w:color w:val="auto"/>
              </w:rPr>
            </w:pPr>
            <w:r>
              <w:rPr>
                <w:rFonts w:ascii="Arial" w:cs="Arial" w:eastAsia="Arial" w:hAnsi="Arial"/>
                <w:sz w:val="18"/>
                <w:szCs w:val="18"/>
                <w:b w:val="1"/>
                <w:bCs w:val="1"/>
                <w:color w:val="auto"/>
                <w:w w:val="89"/>
              </w:rPr>
              <w:t>Six Months Ended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631"/>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vMerge w:val="continue"/>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22,516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22,808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40" w:firstLine="479"/>
        <w:spacing w:after="0" w:line="256" w:lineRule="auto"/>
        <w:rPr>
          <w:sz w:val="20"/>
          <w:szCs w:val="20"/>
          <w:color w:val="auto"/>
        </w:rPr>
      </w:pPr>
      <w:r>
        <w:rPr>
          <w:rFonts w:ascii="Arial" w:cs="Arial" w:eastAsia="Arial" w:hAnsi="Arial"/>
          <w:sz w:val="18"/>
          <w:szCs w:val="18"/>
          <w:color w:val="231F20"/>
        </w:rPr>
        <w:t>General and administrative expense decreased by $0.3 million, or 1%, during the six months ended June 30, 2023 compared to the six months ended June 30, 2022. This decrease was primarily attributable to a $1.3 million decrease in decrease in business insurance and tax, accounting, legal, and consulting expenses associated with general corporate and compliance matters, a $0.7 million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8" w:name="page29"/>
    <w:bookmarkEnd w:id="28"/>
    <w:p>
      <w:pPr>
        <w:jc w:val="center"/>
        <w:ind w:left="48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34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231F20"/>
        </w:rPr>
        <w:t>decrease in recruiting services, and a $0.2 million decrease in travel and entertainment, offset by a $1.6 million increase in stock-based compensation, a $0.2 million increase in software license and subscription costs, and a $0.1 million increase in personnel costs.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00" w:type="dxa"/>
            <w:vAlign w:val="bottom"/>
            <w:gridSpan w:val="2"/>
          </w:tcPr>
          <w:p>
            <w:pPr>
              <w:spacing w:after="0"/>
              <w:rPr>
                <w:sz w:val="20"/>
                <w:szCs w:val="20"/>
                <w:color w:val="auto"/>
              </w:rPr>
            </w:pPr>
            <w:r>
              <w:rPr>
                <w:rFonts w:ascii="Arial" w:cs="Arial" w:eastAsia="Arial" w:hAnsi="Arial"/>
                <w:sz w:val="18"/>
                <w:szCs w:val="18"/>
                <w:i w:val="1"/>
                <w:iCs w:val="1"/>
                <w:color w:val="231F20"/>
              </w:rPr>
              <w:t>Total Other Expense (Income), Net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gridSpan w:val="3"/>
          </w:tcPr>
          <w:p>
            <w:pPr>
              <w:jc w:val="center"/>
              <w:ind w:left="91"/>
              <w:spacing w:after="0"/>
              <w:rPr>
                <w:sz w:val="20"/>
                <w:szCs w:val="20"/>
                <w:color w:val="auto"/>
              </w:rPr>
            </w:pPr>
            <w:r>
              <w:rPr>
                <w:rFonts w:ascii="Arial" w:cs="Arial" w:eastAsia="Arial" w:hAnsi="Arial"/>
                <w:sz w:val="18"/>
                <w:szCs w:val="18"/>
                <w:b w:val="1"/>
                <w:bCs w:val="1"/>
                <w:color w:val="auto"/>
                <w:w w:val="89"/>
              </w:rPr>
              <w:t>Six Months Ended</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91"/>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3"/>
        </w:trPr>
        <w:tc>
          <w:tcPr>
            <w:tcW w:w="720" w:type="dxa"/>
            <w:vAlign w:val="bottom"/>
          </w:tcPr>
          <w:p>
            <w:pPr>
              <w:spacing w:after="0"/>
              <w:rPr>
                <w:sz w:val="20"/>
                <w:szCs w:val="20"/>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(3,780)</w:t>
            </w:r>
          </w:p>
        </w:tc>
        <w:tc>
          <w:tcPr>
            <w:tcW w:w="1020" w:type="dxa"/>
            <w:vAlign w:val="bottom"/>
            <w:gridSpan w:val="2"/>
            <w:shd w:val="clear" w:color="auto" w:fill="CCEEFF"/>
          </w:tcPr>
          <w:p>
            <w:pPr>
              <w:jc w:val="right"/>
              <w:ind w:right="73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3"/>
              </w:rPr>
              <w:t>476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300" w:firstLine="479"/>
        <w:spacing w:after="0" w:line="279" w:lineRule="auto"/>
        <w:rPr>
          <w:sz w:val="20"/>
          <w:szCs w:val="20"/>
          <w:color w:val="auto"/>
        </w:rPr>
      </w:pPr>
      <w:r>
        <w:rPr>
          <w:rFonts w:ascii="Arial" w:cs="Arial" w:eastAsia="Arial" w:hAnsi="Arial"/>
          <w:sz w:val="17"/>
          <w:szCs w:val="17"/>
          <w:color w:val="231F20"/>
        </w:rPr>
        <w:t>Total other income for the six months ended June 30, 2023 was $3.8 million compared to total other expense of $0.5 million for the same period in 2022. The change from the prior year was primarily due to higher interest income on cash and cash equivalents and lower interest expense as a result of paying off the full outstanding balance under our revolving credit facility with PNC Bank in May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Operating and Financial Performance Measures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Non-GAAP Financial Measures</w:t>
      </w:r>
    </w:p>
    <w:p>
      <w:pPr>
        <w:spacing w:after="0" w:line="112" w:lineRule="exact"/>
        <w:rPr>
          <w:sz w:val="20"/>
          <w:szCs w:val="20"/>
          <w:color w:val="auto"/>
        </w:rPr>
      </w:pPr>
    </w:p>
    <w:p>
      <w:pPr>
        <w:ind w:firstLine="479"/>
        <w:spacing w:after="0" w:line="283" w:lineRule="auto"/>
        <w:rPr>
          <w:sz w:val="20"/>
          <w:szCs w:val="20"/>
          <w:color w:val="auto"/>
        </w:rPr>
      </w:pPr>
      <w:r>
        <w:rPr>
          <w:rFonts w:ascii="Arial" w:cs="Arial" w:eastAsia="Arial" w:hAnsi="Arial"/>
          <w:sz w:val="16"/>
          <w:szCs w:val="16"/>
          <w:color w:val="231F20"/>
        </w:rPr>
        <w:t xml:space="preserve">We monitor certain non-GAAP financial measures to help us evaluate growth trends, establish budgets, measure the effectiveness of our sales and marketing efforts and assess our operational efficiencies. </w:t>
      </w:r>
      <w:r>
        <w:rPr>
          <w:rFonts w:ascii="Arial" w:cs="Arial" w:eastAsia="Arial" w:hAnsi="Arial"/>
          <w:sz w:val="16"/>
          <w:szCs w:val="16"/>
          <w:color w:val="000000"/>
        </w:rPr>
        <w:t>We believe these measures enhance an overall understanding of our performance and investors’</w:t>
      </w:r>
      <w:r>
        <w:rPr>
          <w:rFonts w:ascii="Arial" w:cs="Arial" w:eastAsia="Arial" w:hAnsi="Arial"/>
          <w:sz w:val="16"/>
          <w:szCs w:val="16"/>
          <w:color w:val="231F20"/>
        </w:rPr>
        <w:t xml:space="preserve"> </w:t>
      </w:r>
      <w:r>
        <w:rPr>
          <w:rFonts w:ascii="Arial" w:cs="Arial" w:eastAsia="Arial" w:hAnsi="Arial"/>
          <w:sz w:val="16"/>
          <w:szCs w:val="16"/>
          <w:color w:val="000000"/>
        </w:rPr>
        <w:t xml:space="preserve">ability to review our business from the same perspective as management and facilitate comparisons of this period’s results with prior periods on a consistent basis by excluding items that management does not believe are indicative of our ongoing operating performance. </w:t>
      </w:r>
      <w:r>
        <w:rPr>
          <w:rFonts w:ascii="Arial" w:cs="Arial" w:eastAsia="Arial" w:hAnsi="Arial"/>
          <w:sz w:val="16"/>
          <w:szCs w:val="16"/>
          <w:color w:val="231F20"/>
        </w:rPr>
        <w:t>These non-GAAP financial measures</w:t>
      </w:r>
      <w:r>
        <w:rPr>
          <w:rFonts w:ascii="Arial" w:cs="Arial" w:eastAsia="Arial" w:hAnsi="Arial"/>
          <w:sz w:val="16"/>
          <w:szCs w:val="16"/>
          <w:color w:val="000000"/>
        </w:rPr>
        <w:t xml:space="preserve"> </w:t>
      </w:r>
      <w:r>
        <w:rPr>
          <w:rFonts w:ascii="Arial" w:cs="Arial" w:eastAsia="Arial" w:hAnsi="Arial"/>
          <w:sz w:val="16"/>
          <w:szCs w:val="16"/>
          <w:color w:val="231F20"/>
        </w:rPr>
        <w:t>include contribution ex-TAC, non-GAAP operating expenses, adjusted EBITDA, adjusted EBITDA as a percentage of contribution ex-TAC, non-GAAP net income (loss), and non-GAAP earnings (loss) per share of Class A common stock—basic and diluted, each of which are discussed immediately following the table below, along with the operational performance measure of active customers.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spacing w:after="0" w:line="38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jc w:val="center"/>
        <w:ind w:left="4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34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4"/>
          </w:tcPr>
          <w:p>
            <w:pPr>
              <w:jc w:val="right"/>
              <w:ind w:right="431"/>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4"/>
          </w:tcPr>
          <w:p>
            <w:pPr>
              <w:jc w:val="right"/>
              <w:ind w:right="571"/>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 (%)</w:t>
            </w:r>
          </w:p>
        </w:tc>
        <w:tc>
          <w:tcPr>
            <w:tcW w:w="300" w:type="dxa"/>
            <w:vAlign w:val="bottom"/>
          </w:tcPr>
          <w:p>
            <w:pPr>
              <w:spacing w:after="0"/>
              <w:rPr>
                <w:sz w:val="19"/>
                <w:szCs w:val="19"/>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161"/>
        </w:trPr>
        <w:tc>
          <w:tcPr>
            <w:tcW w:w="232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Operating and Financial</w:t>
            </w:r>
          </w:p>
        </w:tc>
        <w:tc>
          <w:tcPr>
            <w:tcW w:w="2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Measures</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32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23,700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20,250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42,083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36,685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Contribution ex-TAC</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33,688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31,735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61,679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59,279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(3,203)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(14,092)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(12,579)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(27,655)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7"/>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6,816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(3,077)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6,426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(6,958)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187"/>
        </w:trPr>
        <w:tc>
          <w:tcPr>
            <w:tcW w:w="2320" w:type="dxa"/>
            <w:vAlign w:val="bottom"/>
          </w:tcPr>
          <w:p>
            <w:pPr>
              <w:spacing w:after="0" w:line="188" w:lineRule="exact"/>
              <w:rPr>
                <w:sz w:val="20"/>
                <w:szCs w:val="20"/>
                <w:color w:val="auto"/>
              </w:rPr>
            </w:pPr>
            <w:r>
              <w:rPr>
                <w:rFonts w:ascii="Arial" w:cs="Arial" w:eastAsia="Arial" w:hAnsi="Arial"/>
                <w:sz w:val="18"/>
                <w:szCs w:val="18"/>
                <w:color w:val="auto"/>
              </w:rPr>
              <w:t>Net loss as a percentage of</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2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Adjusted EBITDA as a</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20" w:type="dxa"/>
            <w:vAlign w:val="bottom"/>
            <w:shd w:val="clear" w:color="auto" w:fill="CCEEFF"/>
          </w:tcPr>
          <w:p>
            <w:pPr>
              <w:spacing w:after="0" w:line="187" w:lineRule="exact"/>
              <w:rPr>
                <w:sz w:val="20"/>
                <w:szCs w:val="20"/>
                <w:color w:val="auto"/>
              </w:rPr>
            </w:pPr>
            <w:r>
              <w:rPr>
                <w:rFonts w:ascii="Arial" w:cs="Arial" w:eastAsia="Arial" w:hAnsi="Arial"/>
                <w:sz w:val="18"/>
                <w:szCs w:val="18"/>
                <w:color w:val="auto"/>
                <w:w w:val="96"/>
              </w:rPr>
              <w:t>percentage of contribution ex-</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TAC</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20"/>
                <w:szCs w:val="20"/>
                <w:color w:val="auto"/>
              </w:rPr>
            </w:pPr>
            <w:r>
              <w:rPr>
                <w:rFonts w:ascii="Arial" w:cs="Arial" w:eastAsia="Arial" w:hAnsi="Arial"/>
                <w:sz w:val="18"/>
                <w:szCs w:val="18"/>
                <w:color w:val="auto"/>
                <w:w w:val="99"/>
              </w:rPr>
              <w:t>Non-GAAP net income (loss)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5,095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(5,934)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3,236</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(12,702)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4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62,474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64,972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115,302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121,008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2320" w:type="dxa"/>
            <w:vAlign w:val="bottom"/>
          </w:tcPr>
          <w:p>
            <w:pPr>
              <w:spacing w:after="0"/>
              <w:rPr>
                <w:sz w:val="20"/>
                <w:szCs w:val="20"/>
                <w:color w:val="auto"/>
              </w:rPr>
            </w:pPr>
            <w:r>
              <w:rPr>
                <w:rFonts w:ascii="Arial" w:cs="Arial" w:eastAsia="Arial" w:hAnsi="Arial"/>
                <w:sz w:val="18"/>
                <w:szCs w:val="18"/>
                <w:color w:val="auto"/>
                <w:w w:val="91"/>
              </w:rPr>
              <w:t>Non-GAAP operating expenses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26,872</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34,812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55,253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66,237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Earnings (loss) per share—</w:t>
            </w:r>
          </w:p>
        </w:tc>
        <w:tc>
          <w:tcPr>
            <w:tcW w:w="28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(0.07)</w:t>
            </w:r>
          </w:p>
        </w:tc>
        <w:tc>
          <w:tcPr>
            <w:tcW w:w="4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(0.24)</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(0.24)</w:t>
            </w:r>
          </w:p>
        </w:tc>
        <w:tc>
          <w:tcPr>
            <w:tcW w:w="4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(0.47)</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9"/>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8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20" w:type="dxa"/>
            <w:vAlign w:val="bottom"/>
          </w:tcPr>
          <w:p>
            <w:pPr>
              <w:spacing w:after="0" w:line="174" w:lineRule="exact"/>
              <w:rPr>
                <w:sz w:val="20"/>
                <w:szCs w:val="20"/>
                <w:color w:val="auto"/>
              </w:rPr>
            </w:pPr>
            <w:r>
              <w:rPr>
                <w:rFonts w:ascii="Arial" w:cs="Arial" w:eastAsia="Arial" w:hAnsi="Arial"/>
                <w:sz w:val="18"/>
                <w:szCs w:val="18"/>
                <w:color w:val="auto"/>
              </w:rPr>
              <w:t>Earnings (loss) per share—</w:t>
            </w:r>
          </w:p>
        </w:tc>
        <w:tc>
          <w:tcPr>
            <w:tcW w:w="280" w:type="dxa"/>
            <w:vAlign w:val="bottom"/>
            <w:vMerge w:val="restart"/>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ind w:right="71"/>
              <w:spacing w:after="0"/>
              <w:rPr>
                <w:sz w:val="20"/>
                <w:szCs w:val="20"/>
                <w:color w:val="auto"/>
              </w:rPr>
            </w:pPr>
            <w:r>
              <w:rPr>
                <w:rFonts w:ascii="Arial" w:cs="Arial" w:eastAsia="Arial" w:hAnsi="Arial"/>
                <w:sz w:val="18"/>
                <w:szCs w:val="18"/>
                <w:color w:val="auto"/>
              </w:rPr>
              <w:t>(0.07)</w:t>
            </w: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71"/>
              <w:spacing w:after="0"/>
              <w:rPr>
                <w:sz w:val="20"/>
                <w:szCs w:val="20"/>
                <w:color w:val="auto"/>
              </w:rPr>
            </w:pPr>
            <w:r>
              <w:rPr>
                <w:rFonts w:ascii="Arial" w:cs="Arial" w:eastAsia="Arial" w:hAnsi="Arial"/>
                <w:sz w:val="18"/>
                <w:szCs w:val="18"/>
                <w:color w:val="auto"/>
              </w:rPr>
              <w:t>(0.24)</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5"/>
                <w:szCs w:val="15"/>
                <w:color w:val="auto"/>
              </w:rPr>
            </w:pPr>
          </w:p>
        </w:tc>
        <w:tc>
          <w:tcPr>
            <w:tcW w:w="300" w:type="dxa"/>
            <w:vAlign w:val="bottom"/>
            <w:vMerge w:val="restart"/>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71"/>
              <w:spacing w:after="0"/>
              <w:rPr>
                <w:sz w:val="20"/>
                <w:szCs w:val="20"/>
                <w:color w:val="auto"/>
              </w:rPr>
            </w:pPr>
            <w:r>
              <w:rPr>
                <w:rFonts w:ascii="Arial" w:cs="Arial" w:eastAsia="Arial" w:hAnsi="Arial"/>
                <w:sz w:val="18"/>
                <w:szCs w:val="18"/>
                <w:color w:val="auto"/>
              </w:rPr>
              <w:t>(0.24)</w:t>
            </w: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91"/>
              <w:spacing w:after="0"/>
              <w:rPr>
                <w:sz w:val="20"/>
                <w:szCs w:val="20"/>
                <w:color w:val="auto"/>
              </w:rPr>
            </w:pPr>
            <w:r>
              <w:rPr>
                <w:rFonts w:ascii="Arial" w:cs="Arial" w:eastAsia="Arial" w:hAnsi="Arial"/>
                <w:sz w:val="18"/>
                <w:szCs w:val="18"/>
                <w:color w:val="auto"/>
              </w:rPr>
              <w:t>(0.47)</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5"/>
        </w:trPr>
        <w:tc>
          <w:tcPr>
            <w:tcW w:w="232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3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4"/>
              </w:rPr>
              <w:t>Non-GAAP earnings (loss) per</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share—basic</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0.06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(0.08)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0.03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174"/>
        </w:trPr>
        <w:tc>
          <w:tcPr>
            <w:tcW w:w="2320" w:type="dxa"/>
            <w:vAlign w:val="bottom"/>
          </w:tcPr>
          <w:p>
            <w:pPr>
              <w:spacing w:after="0" w:line="174" w:lineRule="exact"/>
              <w:rPr>
                <w:sz w:val="20"/>
                <w:szCs w:val="20"/>
                <w:color w:val="auto"/>
              </w:rPr>
            </w:pPr>
            <w:r>
              <w:rPr>
                <w:rFonts w:ascii="Arial" w:cs="Arial" w:eastAsia="Arial" w:hAnsi="Arial"/>
                <w:sz w:val="18"/>
                <w:szCs w:val="18"/>
                <w:color w:val="auto"/>
                <w:w w:val="94"/>
              </w:rPr>
              <w:t>Non-GAAP earnings (loss) per</w:t>
            </w:r>
          </w:p>
        </w:tc>
        <w:tc>
          <w:tcPr>
            <w:tcW w:w="280" w:type="dxa"/>
            <w:vAlign w:val="bottom"/>
            <w:vMerge w:val="restart"/>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ind w:right="131"/>
              <w:spacing w:after="0"/>
              <w:rPr>
                <w:sz w:val="20"/>
                <w:szCs w:val="20"/>
                <w:color w:val="auto"/>
              </w:rPr>
            </w:pPr>
            <w:r>
              <w:rPr>
                <w:rFonts w:ascii="Arial" w:cs="Arial" w:eastAsia="Arial" w:hAnsi="Arial"/>
                <w:sz w:val="18"/>
                <w:szCs w:val="18"/>
                <w:color w:val="auto"/>
              </w:rPr>
              <w:t>0.06</w:t>
            </w: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71"/>
              <w:spacing w:after="0"/>
              <w:rPr>
                <w:sz w:val="20"/>
                <w:szCs w:val="20"/>
                <w:color w:val="auto"/>
              </w:rPr>
            </w:pPr>
            <w:r>
              <w:rPr>
                <w:rFonts w:ascii="Arial" w:cs="Arial" w:eastAsia="Arial" w:hAnsi="Arial"/>
                <w:sz w:val="18"/>
                <w:szCs w:val="18"/>
                <w:color w:val="auto"/>
              </w:rPr>
              <w:t>(0.08)</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15"/>
                <w:szCs w:val="15"/>
                <w:color w:val="auto"/>
              </w:rPr>
            </w:pPr>
          </w:p>
        </w:tc>
        <w:tc>
          <w:tcPr>
            <w:tcW w:w="300" w:type="dxa"/>
            <w:vAlign w:val="bottom"/>
            <w:vMerge w:val="restart"/>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1"/>
              <w:spacing w:after="0"/>
              <w:rPr>
                <w:sz w:val="20"/>
                <w:szCs w:val="20"/>
                <w:color w:val="auto"/>
              </w:rPr>
            </w:pPr>
            <w:r>
              <w:rPr>
                <w:rFonts w:ascii="Arial" w:cs="Arial" w:eastAsia="Arial" w:hAnsi="Arial"/>
                <w:sz w:val="18"/>
                <w:szCs w:val="18"/>
                <w:color w:val="auto"/>
              </w:rPr>
              <w:t>0.03</w:t>
            </w: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91"/>
              <w:spacing w:after="0"/>
              <w:rPr>
                <w:sz w:val="20"/>
                <w:szCs w:val="20"/>
                <w:color w:val="auto"/>
              </w:rPr>
            </w:pPr>
            <w:r>
              <w:rPr>
                <w:rFonts w:ascii="Arial" w:cs="Arial" w:eastAsia="Arial" w:hAnsi="Arial"/>
                <w:sz w:val="18"/>
                <w:szCs w:val="18"/>
                <w:color w:val="auto"/>
              </w:rPr>
              <w:t>(0.18)</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31"/>
        </w:trPr>
        <w:tc>
          <w:tcPr>
            <w:tcW w:w="2320" w:type="dxa"/>
            <w:vAlign w:val="bottom"/>
          </w:tcPr>
          <w:p>
            <w:pPr>
              <w:spacing w:after="0"/>
              <w:rPr>
                <w:sz w:val="20"/>
                <w:szCs w:val="20"/>
                <w:color w:val="auto"/>
              </w:rPr>
            </w:pPr>
            <w:r>
              <w:rPr>
                <w:rFonts w:ascii="Arial" w:cs="Arial" w:eastAsia="Arial" w:hAnsi="Arial"/>
                <w:sz w:val="18"/>
                <w:szCs w:val="18"/>
                <w:color w:val="auto"/>
              </w:rPr>
              <w:t>share—diluted</w:t>
            </w:r>
          </w:p>
        </w:tc>
        <w:tc>
          <w:tcPr>
            <w:tcW w:w="28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Active customers</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336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Contribution ex-TAC</w:t>
      </w:r>
    </w:p>
    <w:p>
      <w:pPr>
        <w:spacing w:after="0" w:line="112" w:lineRule="exact"/>
        <w:rPr>
          <w:sz w:val="20"/>
          <w:szCs w:val="20"/>
          <w:color w:val="auto"/>
        </w:rPr>
      </w:pPr>
    </w:p>
    <w:p>
      <w:pPr>
        <w:ind w:firstLine="479"/>
        <w:spacing w:after="0" w:line="288" w:lineRule="auto"/>
        <w:rPr>
          <w:sz w:val="20"/>
          <w:szCs w:val="20"/>
          <w:color w:val="auto"/>
        </w:rPr>
      </w:pPr>
      <w:r>
        <w:rPr>
          <w:rFonts w:ascii="Arial" w:cs="Arial" w:eastAsia="Arial" w:hAnsi="Arial"/>
          <w:sz w:val="16"/>
          <w:szCs w:val="16"/>
          <w:color w:val="231F20"/>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60" w:lineRule="exact"/>
        <w:rPr>
          <w:sz w:val="20"/>
          <w:szCs w:val="20"/>
          <w:color w:val="auto"/>
        </w:rPr>
      </w:pPr>
    </w:p>
    <w:p>
      <w:pPr>
        <w:ind w:right="80" w:firstLine="479"/>
        <w:spacing w:after="0" w:line="251" w:lineRule="auto"/>
        <w:rPr>
          <w:sz w:val="20"/>
          <w:szCs w:val="20"/>
          <w:color w:val="auto"/>
        </w:rPr>
      </w:pPr>
      <w:r>
        <w:rPr>
          <w:rFonts w:ascii="Arial" w:cs="Arial" w:eastAsia="Arial" w:hAnsi="Arial"/>
          <w:sz w:val="18"/>
          <w:szCs w:val="18"/>
          <w:color w:val="231F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these and other limitations, you should consider our non-GAAP financial measures only as supplemental to other GAAP-based financial performance measures, including revenue, gross profit, net income (loss) and cash flows.</w:t>
      </w:r>
    </w:p>
    <w:p>
      <w:pPr>
        <w:spacing w:after="0" w:line="200" w:lineRule="exact"/>
        <w:rPr>
          <w:sz w:val="20"/>
          <w:szCs w:val="20"/>
          <w:color w:val="auto"/>
        </w:rPr>
      </w:pPr>
    </w:p>
    <w:p>
      <w:pPr>
        <w:spacing w:after="0" w:line="20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jc w:val="center"/>
        <w:ind w:left="4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341" w:lineRule="exact"/>
        <w:rPr>
          <w:sz w:val="20"/>
          <w:szCs w:val="20"/>
          <w:color w:val="auto"/>
        </w:rPr>
      </w:pPr>
    </w:p>
    <w:p>
      <w:pPr>
        <w:ind w:left="480"/>
        <w:spacing w:after="0"/>
        <w:rPr>
          <w:sz w:val="20"/>
          <w:szCs w:val="20"/>
          <w:color w:val="auto"/>
        </w:rPr>
      </w:pPr>
      <w:r>
        <w:rPr>
          <w:rFonts w:ascii="Arial" w:cs="Arial" w:eastAsia="Arial" w:hAnsi="Arial"/>
          <w:sz w:val="16"/>
          <w:szCs w:val="16"/>
          <w:color w:val="231F20"/>
        </w:rPr>
        <w:t>The following table presents the calculation of gross profit and reconciliation of gross profit to contribution ex-TAC for the three and six months ended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231F20"/>
        </w:rPr>
        <w:t>June 30, 2023 and 2022:</w:t>
      </w:r>
    </w:p>
    <w:p>
      <w:pPr>
        <w:spacing w:after="0" w:line="10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4"/>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87"/>
              </w:rPr>
              <w:t>51,200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7"/>
              </w:rPr>
              <w:t>98,943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87"/>
              </w:rPr>
              <w:t>93,829</w:t>
            </w:r>
          </w:p>
        </w:tc>
      </w:tr>
      <w:tr>
        <w:trPr>
          <w:trHeight w:val="239"/>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Platform operations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left="211"/>
              <w:spacing w:after="0"/>
              <w:rPr>
                <w:sz w:val="20"/>
                <w:szCs w:val="20"/>
                <w:color w:val="auto"/>
              </w:rPr>
            </w:pPr>
            <w:r>
              <w:rPr>
                <w:rFonts w:ascii="Arial" w:cs="Arial" w:eastAsia="Arial" w:hAnsi="Arial"/>
                <w:sz w:val="18"/>
                <w:szCs w:val="18"/>
                <w:color w:val="auto"/>
                <w:w w:val="89"/>
              </w:rPr>
              <w:t>(30,950)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2"/>
              </w:rPr>
              <w:t>(56,860)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left="211"/>
              <w:spacing w:after="0"/>
              <w:rPr>
                <w:sz w:val="20"/>
                <w:szCs w:val="20"/>
                <w:color w:val="auto"/>
              </w:rPr>
            </w:pPr>
            <w:r>
              <w:rPr>
                <w:rFonts w:ascii="Arial" w:cs="Arial" w:eastAsia="Arial" w:hAnsi="Arial"/>
                <w:sz w:val="18"/>
                <w:szCs w:val="18"/>
                <w:color w:val="auto"/>
                <w:w w:val="89"/>
              </w:rPr>
              <w:t>(57,144)</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87"/>
              </w:rPr>
              <w:t>20,250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7"/>
              </w:rPr>
              <w:t>42,083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87"/>
              </w:rPr>
              <w:t>36,685</w:t>
            </w:r>
          </w:p>
        </w:tc>
      </w:tr>
      <w:tr>
        <w:trPr>
          <w:trHeight w:val="226"/>
        </w:trPr>
        <w:tc>
          <w:tcPr>
            <w:tcW w:w="4580" w:type="dxa"/>
            <w:vAlign w:val="bottom"/>
          </w:tcPr>
          <w:p>
            <w:pPr>
              <w:ind w:left="180"/>
              <w:spacing w:after="0"/>
              <w:rPr>
                <w:sz w:val="20"/>
                <w:szCs w:val="20"/>
                <w:color w:val="auto"/>
              </w:rPr>
            </w:pPr>
            <w:r>
              <w:rPr>
                <w:rFonts w:ascii="Arial" w:cs="Arial" w:eastAsia="Arial" w:hAnsi="Arial"/>
                <w:sz w:val="18"/>
                <w:szCs w:val="18"/>
                <w:color w:val="auto"/>
              </w:rPr>
              <w:t>Add: Other platform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9,988</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51"/>
              <w:spacing w:after="0"/>
              <w:rPr>
                <w:sz w:val="20"/>
                <w:szCs w:val="20"/>
                <w:color w:val="auto"/>
              </w:rPr>
            </w:pPr>
            <w:r>
              <w:rPr>
                <w:rFonts w:ascii="Arial" w:cs="Arial" w:eastAsia="Arial" w:hAnsi="Arial"/>
                <w:sz w:val="18"/>
                <w:szCs w:val="18"/>
                <w:color w:val="auto"/>
                <w:w w:val="87"/>
              </w:rPr>
              <w:t>11,485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31"/>
              <w:spacing w:after="0"/>
              <w:rPr>
                <w:sz w:val="20"/>
                <w:szCs w:val="20"/>
                <w:color w:val="auto"/>
              </w:rPr>
            </w:pPr>
            <w:r>
              <w:rPr>
                <w:rFonts w:ascii="Arial" w:cs="Arial" w:eastAsia="Arial" w:hAnsi="Arial"/>
                <w:sz w:val="18"/>
                <w:szCs w:val="18"/>
                <w:color w:val="auto"/>
                <w:w w:val="87"/>
              </w:rPr>
              <w:t>19,596</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51"/>
              <w:spacing w:after="0"/>
              <w:rPr>
                <w:sz w:val="20"/>
                <w:szCs w:val="20"/>
                <w:color w:val="auto"/>
              </w:rPr>
            </w:pPr>
            <w:r>
              <w:rPr>
                <w:rFonts w:ascii="Arial" w:cs="Arial" w:eastAsia="Arial" w:hAnsi="Arial"/>
                <w:sz w:val="18"/>
                <w:szCs w:val="18"/>
                <w:color w:val="auto"/>
                <w:w w:val="87"/>
              </w:rPr>
              <w:t>22,594</w:t>
            </w:r>
          </w:p>
        </w:tc>
      </w:tr>
      <w:tr>
        <w:trPr>
          <w:trHeight w:val="25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ex-TAC</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87"/>
              </w:rPr>
              <w:t>31,735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7"/>
              </w:rPr>
              <w:t>61,679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87"/>
              </w:rPr>
              <w:t>59,279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Active customers</w:t>
      </w:r>
    </w:p>
    <w:p>
      <w:pPr>
        <w:spacing w:after="0" w:line="112" w:lineRule="exact"/>
        <w:rPr>
          <w:sz w:val="20"/>
          <w:szCs w:val="20"/>
          <w:color w:val="auto"/>
        </w:rPr>
      </w:pPr>
    </w:p>
    <w:p>
      <w:pPr>
        <w:ind w:right="60" w:firstLine="479"/>
        <w:spacing w:after="0" w:line="266" w:lineRule="auto"/>
        <w:rPr>
          <w:sz w:val="20"/>
          <w:szCs w:val="20"/>
          <w:color w:val="auto"/>
        </w:rPr>
      </w:pPr>
      <w:r>
        <w:rPr>
          <w:rFonts w:ascii="Arial" w:cs="Arial" w:eastAsia="Arial" w:hAnsi="Arial"/>
          <w:sz w:val="17"/>
          <w:szCs w:val="17"/>
          <w:color w:val="231F20"/>
        </w:rPr>
        <w:t>We define an active customer as a customer that had total aggregate contribution ex-TAC of at least $5,000 through our platform during the previous twelve months. For purposes of this definition, a customer that operates under any of our pricing options that equals or exceeds the aforementioned contribution ex-TAC threshold is considered an active customer. Active customers is a key measure used by our management and board of directors to understand and evaluate our operating performance and trends, develop short- and long-term operational plans and make strategic decisions regarding future enhancements to our platform. We believe active customers is a useful metric for investors because it allows investors to evaluate the Company’s operational performance in the same manner as our management and board of directors. Active customers is an operational metric calculated using contribution ex-TAC, a non-GAAP financial measure. For the twelve months ended June 30, 2023, our active customer count was 314, compared to 326 active customers for the twelve months ended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Non-GAAP Operating Expenses</w:t>
      </w:r>
    </w:p>
    <w:p>
      <w:pPr>
        <w:spacing w:after="0" w:line="112" w:lineRule="exact"/>
        <w:rPr>
          <w:sz w:val="20"/>
          <w:szCs w:val="20"/>
          <w:color w:val="auto"/>
        </w:rPr>
      </w:pPr>
    </w:p>
    <w:p>
      <w:pPr>
        <w:ind w:firstLine="479"/>
        <w:spacing w:after="0" w:line="284" w:lineRule="auto"/>
        <w:rPr>
          <w:sz w:val="20"/>
          <w:szCs w:val="20"/>
          <w:color w:val="auto"/>
        </w:rPr>
      </w:pPr>
      <w:r>
        <w:rPr>
          <w:rFonts w:ascii="Arial" w:cs="Arial" w:eastAsia="Arial" w:hAnsi="Arial"/>
          <w:sz w:val="16"/>
          <w:szCs w:val="16"/>
          <w:color w:val="auto"/>
        </w:rPr>
        <w:t>Non-GAAP operating expenses is a non-GAAP financial measure. Total operating expenses is the most comparable GAAP financial measure. Non-GAAP operating expenses is defined by us as total operating expenses plus other expense (income), net less TAC, stock-based compensation, depreciation, amortization, and certain other items that are not related to our core operations, such as restructuring charges and transaction expenses. Non-GAAP operating expenses is a key component in calculating adjusted EBITDA, which is one of the measures we use to provide our quarterly and annual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depreciation, amortization, stock-based compensation, TAC and certain other items not related to our core operations provides another measure for period-to-period comparisons of our business, provides additional insight into our core controllable costs, and is a useful metric for investors because it allows them to evaluate our operational performance in the same manner as our management and board of directors.</w:t>
      </w:r>
    </w:p>
    <w:p>
      <w:pPr>
        <w:spacing w:after="0" w:line="64" w:lineRule="exact"/>
        <w:rPr>
          <w:sz w:val="20"/>
          <w:szCs w:val="20"/>
          <w:color w:val="auto"/>
        </w:rPr>
      </w:pPr>
    </w:p>
    <w:p>
      <w:pPr>
        <w:ind w:right="40" w:firstLine="479"/>
        <w:spacing w:after="0" w:line="270" w:lineRule="auto"/>
        <w:rPr>
          <w:sz w:val="20"/>
          <w:szCs w:val="20"/>
          <w:color w:val="auto"/>
        </w:rPr>
      </w:pPr>
      <w:r>
        <w:rPr>
          <w:rFonts w:ascii="Arial" w:cs="Arial" w:eastAsia="Arial" w:hAnsi="Arial"/>
          <w:sz w:val="17"/>
          <w:szCs w:val="17"/>
          <w:color w:val="231F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these and other limitations, you should consider our non-GAAP financial measures only as supplemental to other GAAP-based financial performance measures, including revenue, gross profit, net income (loss) and cash flows.</w:t>
      </w:r>
    </w:p>
    <w:p>
      <w:pPr>
        <w:spacing w:after="0" w:line="39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jc w:val="center"/>
        <w:ind w:left="4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341" w:lineRule="exact"/>
        <w:rPr>
          <w:sz w:val="20"/>
          <w:szCs w:val="20"/>
          <w:color w:val="auto"/>
        </w:rPr>
      </w:pPr>
    </w:p>
    <w:p>
      <w:pPr>
        <w:ind w:right="60" w:firstLine="479"/>
        <w:spacing w:after="0" w:line="266" w:lineRule="auto"/>
        <w:rPr>
          <w:sz w:val="20"/>
          <w:szCs w:val="20"/>
          <w:color w:val="auto"/>
        </w:rPr>
      </w:pPr>
      <w:r>
        <w:rPr>
          <w:rFonts w:ascii="Arial" w:cs="Arial" w:eastAsia="Arial" w:hAnsi="Arial"/>
          <w:sz w:val="18"/>
          <w:szCs w:val="18"/>
          <w:color w:val="231F20"/>
        </w:rPr>
        <w:t>The following table presents a reconciliation of total operating expenses to non-GAAP operating expenses for the three and six months ended June 30, 2023 and 2022:</w:t>
      </w:r>
    </w:p>
    <w:p>
      <w:pPr>
        <w:spacing w:after="0" w:line="79"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gridSpan w:val="4"/>
          </w:tcPr>
          <w:p>
            <w:pPr>
              <w:jc w:val="right"/>
              <w:ind w:right="611"/>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4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4"/>
        </w:trPr>
        <w:tc>
          <w:tcPr>
            <w:tcW w:w="4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r>
      <w:tr>
        <w:trPr>
          <w:trHeight w:val="220"/>
        </w:trPr>
        <w:tc>
          <w:tcPr>
            <w:tcW w:w="45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6"/>
        </w:trPr>
        <w:tc>
          <w:tcPr>
            <w:tcW w:w="4580" w:type="dxa"/>
            <w:vAlign w:val="bottom"/>
          </w:tcPr>
          <w:p>
            <w:pPr>
              <w:ind w:left="220"/>
              <w:spacing w:after="0"/>
              <w:rPr>
                <w:sz w:val="20"/>
                <w:szCs w:val="20"/>
                <w:color w:val="auto"/>
              </w:rPr>
            </w:pPr>
            <w:r>
              <w:rPr>
                <w:rFonts w:ascii="Arial" w:cs="Arial" w:eastAsia="Arial" w:hAnsi="Arial"/>
                <w:sz w:val="18"/>
                <w:szCs w:val="18"/>
                <w:color w:val="auto"/>
              </w:rPr>
              <w:t>Platform operations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33,523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30,950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56,860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57,144</w:t>
            </w:r>
          </w:p>
        </w:tc>
      </w:tr>
      <w:tr>
        <w:trPr>
          <w:trHeight w:val="227"/>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31,042</w:t>
            </w:r>
          </w:p>
        </w:tc>
      </w:tr>
      <w:tr>
        <w:trPr>
          <w:trHeight w:val="232"/>
        </w:trPr>
        <w:tc>
          <w:tcPr>
            <w:tcW w:w="4580" w:type="dxa"/>
            <w:vAlign w:val="bottom"/>
          </w:tcPr>
          <w:p>
            <w:pPr>
              <w:ind w:left="220"/>
              <w:spacing w:after="0"/>
              <w:rPr>
                <w:sz w:val="20"/>
                <w:szCs w:val="20"/>
                <w:color w:val="auto"/>
              </w:rPr>
            </w:pPr>
            <w:r>
              <w:rPr>
                <w:rFonts w:ascii="Arial" w:cs="Arial" w:eastAsia="Arial" w:hAnsi="Arial"/>
                <w:sz w:val="18"/>
                <w:szCs w:val="18"/>
                <w:color w:val="auto"/>
              </w:rPr>
              <w:t>Technology and development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10,014</w:t>
            </w:r>
          </w:p>
        </w:tc>
      </w:tr>
      <w:tr>
        <w:trPr>
          <w:trHeight w:val="233"/>
        </w:trPr>
        <w:tc>
          <w:tcPr>
            <w:tcW w:w="4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22,808</w:t>
            </w:r>
          </w:p>
        </w:tc>
      </w:tr>
      <w:tr>
        <w:trPr>
          <w:trHeight w:val="220"/>
        </w:trPr>
        <w:tc>
          <w:tcPr>
            <w:tcW w:w="45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62,474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64,972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115,302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121,008</w:t>
            </w:r>
          </w:p>
        </w:tc>
      </w:tr>
      <w:tr>
        <w:trPr>
          <w:trHeight w:val="24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6"/>
        </w:trPr>
        <w:tc>
          <w:tcPr>
            <w:tcW w:w="4580" w:type="dxa"/>
            <w:vAlign w:val="bottom"/>
          </w:tcPr>
          <w:p>
            <w:pPr>
              <w:ind w:left="22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27"/>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2"/>
        </w:trPr>
        <w:tc>
          <w:tcPr>
            <w:tcW w:w="4580" w:type="dxa"/>
            <w:vAlign w:val="bottom"/>
          </w:tcPr>
          <w:p>
            <w:pPr>
              <w:ind w:left="220"/>
              <w:spacing w:after="0"/>
              <w:rPr>
                <w:sz w:val="20"/>
                <w:szCs w:val="20"/>
                <w:color w:val="auto"/>
              </w:rPr>
            </w:pPr>
            <w:r>
              <w:rPr>
                <w:rFonts w:ascii="Arial" w:cs="Arial" w:eastAsia="Arial" w:hAnsi="Arial"/>
                <w:sz w:val="18"/>
                <w:szCs w:val="18"/>
                <w:color w:val="auto"/>
              </w:rPr>
              <w:t>Traffic acquisition costs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(19,465)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(34,550)</w:t>
            </w:r>
          </w:p>
        </w:tc>
      </w:tr>
      <w:tr>
        <w:trPr>
          <w:trHeight w:val="234"/>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(14,144)</w:t>
            </w:r>
          </w:p>
        </w:tc>
      </w:tr>
      <w:tr>
        <w:trPr>
          <w:trHeight w:val="226"/>
        </w:trPr>
        <w:tc>
          <w:tcPr>
            <w:tcW w:w="45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(6,380)</w:t>
            </w:r>
          </w:p>
        </w:tc>
      </w:tr>
      <w:tr>
        <w:trPr>
          <w:trHeight w:val="240"/>
        </w:trPr>
        <w:tc>
          <w:tcPr>
            <w:tcW w:w="4580" w:type="dxa"/>
            <w:vAlign w:val="bottom"/>
            <w:shd w:val="clear" w:color="auto" w:fill="CCEEFF"/>
          </w:tcPr>
          <w:p>
            <w:pPr>
              <w:ind w:left="220"/>
              <w:spacing w:after="0" w:line="24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580" w:type="dxa"/>
            <w:vAlign w:val="bottom"/>
          </w:tcPr>
          <w:p>
            <w:pPr>
              <w:ind w:left="20"/>
              <w:spacing w:after="0"/>
              <w:rPr>
                <w:sz w:val="20"/>
                <w:szCs w:val="20"/>
                <w:color w:val="auto"/>
              </w:rPr>
            </w:pPr>
            <w:r>
              <w:rPr>
                <w:rFonts w:ascii="Arial" w:cs="Arial" w:eastAsia="Arial" w:hAnsi="Arial"/>
                <w:sz w:val="18"/>
                <w:szCs w:val="18"/>
                <w:color w:val="auto"/>
              </w:rPr>
              <w:t>Non-GAAP operating expenses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26,872</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34,812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55,253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66,237</w:t>
            </w:r>
          </w:p>
        </w:tc>
      </w:tr>
      <w:tr>
        <w:trPr>
          <w:trHeight w:val="20"/>
        </w:trPr>
        <w:tc>
          <w:tcPr>
            <w:tcW w:w="4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640"/>
        <w:spacing w:after="0"/>
        <w:rPr>
          <w:sz w:val="20"/>
          <w:szCs w:val="20"/>
          <w:color w:val="auto"/>
        </w:rPr>
      </w:pPr>
      <w:r>
        <w:rPr>
          <w:rFonts w:ascii="Arial" w:cs="Arial" w:eastAsia="Arial" w:hAnsi="Arial"/>
          <w:sz w:val="18"/>
          <w:szCs w:val="18"/>
          <w:color w:val="231F20"/>
        </w:rPr>
        <w:t>(1) Restructuring includes adjustments to severance charges initially recognized during the prior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Adjusted EBITDA and adjusted EBITDA as a percentage of contribution ex-TAC</w:t>
      </w:r>
    </w:p>
    <w:p>
      <w:pPr>
        <w:spacing w:after="0" w:line="112" w:lineRule="exact"/>
        <w:rPr>
          <w:sz w:val="20"/>
          <w:szCs w:val="20"/>
          <w:color w:val="auto"/>
        </w:rPr>
      </w:pPr>
    </w:p>
    <w:p>
      <w:pPr>
        <w:ind w:right="240" w:firstLine="479"/>
        <w:spacing w:after="0" w:line="251" w:lineRule="auto"/>
        <w:rPr>
          <w:sz w:val="20"/>
          <w:szCs w:val="20"/>
          <w:color w:val="auto"/>
        </w:rPr>
      </w:pPr>
      <w:r>
        <w:rPr>
          <w:rFonts w:ascii="Arial" w:cs="Arial" w:eastAsia="Arial" w:hAnsi="Arial"/>
          <w:sz w:val="18"/>
          <w:szCs w:val="18"/>
          <w:color w:val="231F20"/>
        </w:rPr>
        <w:t>Adjusted EBITDA is a non-GAAP financial measure defined by us as net income (loss) before interest expense (income), net, income tax benefit (expense), depreciation, amortization, stock-based compensation and certain other items that are not related to our core operations, such as restructuring charges, transaction expenses and the extinguishment of debt. Net income (loss) is the most comparable GAAP financial measure. Adjusted EBITDA as a percentage of contribution ex-TAC is a non-GAAP financial measure we calculate by dividing adjusted EBITDA by contribution ex-TAC for the period or periods presented.</w:t>
      </w:r>
    </w:p>
    <w:p>
      <w:pPr>
        <w:spacing w:after="0" w:line="89" w:lineRule="exact"/>
        <w:rPr>
          <w:sz w:val="20"/>
          <w:szCs w:val="20"/>
          <w:color w:val="auto"/>
        </w:rPr>
      </w:pPr>
    </w:p>
    <w:p>
      <w:pPr>
        <w:ind w:right="120" w:firstLine="479"/>
        <w:spacing w:after="0" w:line="286" w:lineRule="auto"/>
        <w:rPr>
          <w:sz w:val="20"/>
          <w:szCs w:val="20"/>
          <w:color w:val="auto"/>
        </w:rPr>
      </w:pPr>
      <w:r>
        <w:rPr>
          <w:rFonts w:ascii="Arial" w:cs="Arial" w:eastAsia="Arial" w:hAnsi="Arial"/>
          <w:sz w:val="16"/>
          <w:szCs w:val="16"/>
          <w:color w:val="231F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a non-GAAP financial measure, is used by our management and board of directors to evaluate adjusted EBITDA relative to our profitability after costs that are directly variable to revenues, which comprise TAC. 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spacing w:after="0" w:line="63" w:lineRule="exact"/>
        <w:rPr>
          <w:sz w:val="20"/>
          <w:szCs w:val="20"/>
          <w:color w:val="auto"/>
        </w:rPr>
      </w:pPr>
    </w:p>
    <w:p>
      <w:pPr>
        <w:ind w:right="220" w:firstLine="479"/>
        <w:spacing w:after="0" w:line="256" w:lineRule="auto"/>
        <w:rPr>
          <w:sz w:val="20"/>
          <w:szCs w:val="20"/>
          <w:color w:val="auto"/>
        </w:rPr>
      </w:pPr>
      <w:r>
        <w:rPr>
          <w:rFonts w:ascii="Arial" w:cs="Arial" w:eastAsia="Arial" w:hAnsi="Arial"/>
          <w:sz w:val="18"/>
          <w:szCs w:val="18"/>
          <w:color w:val="231F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spacing w:after="0" w:line="83" w:lineRule="exact"/>
        <w:rPr>
          <w:sz w:val="20"/>
          <w:szCs w:val="20"/>
          <w:color w:val="auto"/>
        </w:rPr>
      </w:pPr>
    </w:p>
    <w:p>
      <w:pPr>
        <w:ind w:left="1280" w:hanging="635"/>
        <w:spacing w:after="0" w:line="256"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w:t>
      </w:r>
    </w:p>
    <w:p>
      <w:pPr>
        <w:spacing w:after="0" w:line="83" w:lineRule="exact"/>
        <w:rPr>
          <w:rFonts w:ascii="Arial" w:cs="Arial" w:eastAsia="Arial" w:hAnsi="Arial"/>
          <w:sz w:val="18"/>
          <w:szCs w:val="18"/>
          <w:color w:val="auto"/>
        </w:rPr>
      </w:pPr>
    </w:p>
    <w:p>
      <w:pPr>
        <w:ind w:left="1280" w:right="200" w:hanging="635"/>
        <w:spacing w:after="0" w:line="256"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83" w:lineRule="exact"/>
        <w:rPr>
          <w:rFonts w:ascii="Arial" w:cs="Arial" w:eastAsia="Arial" w:hAnsi="Arial"/>
          <w:sz w:val="18"/>
          <w:szCs w:val="18"/>
          <w:color w:val="auto"/>
        </w:rPr>
      </w:pPr>
    </w:p>
    <w:p>
      <w:pPr>
        <w:ind w:left="1280" w:right="420" w:hanging="635"/>
        <w:spacing w:after="0" w:line="266"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adjusted EBITDA does not reflect changes in, or cash requirements for, our working capital needs or the potentially dilutive impact of stock-based compensation.</w:t>
      </w:r>
    </w:p>
    <w:p>
      <w:pPr>
        <w:spacing w:after="0" w:line="74" w:lineRule="exact"/>
        <w:rPr>
          <w:sz w:val="20"/>
          <w:szCs w:val="20"/>
          <w:color w:val="auto"/>
        </w:rPr>
      </w:pPr>
    </w:p>
    <w:p>
      <w:pPr>
        <w:ind w:right="220" w:firstLine="479"/>
        <w:spacing w:after="0" w:line="266" w:lineRule="auto"/>
        <w:rPr>
          <w:sz w:val="20"/>
          <w:szCs w:val="20"/>
          <w:color w:val="auto"/>
        </w:rPr>
      </w:pPr>
      <w:r>
        <w:rPr>
          <w:rFonts w:ascii="Arial" w:cs="Arial" w:eastAsia="Arial" w:hAnsi="Arial"/>
          <w:sz w:val="18"/>
          <w:szCs w:val="18"/>
          <w:color w:val="231F20"/>
        </w:rPr>
        <w:t>Because of these and other limitations, you should consider our non-GAAP financial measures only as supplemental to other GAAP-based financial performance measures, including revenue, net loss and cash flows.</w:t>
      </w:r>
    </w:p>
    <w:p>
      <w:pPr>
        <w:spacing w:after="0" w:line="39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jc w:val="center"/>
        <w:ind w:left="4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341" w:lineRule="exact"/>
        <w:rPr>
          <w:sz w:val="20"/>
          <w:szCs w:val="20"/>
          <w:color w:val="auto"/>
        </w:rPr>
      </w:pPr>
    </w:p>
    <w:p>
      <w:pPr>
        <w:ind w:left="480"/>
        <w:spacing w:after="0"/>
        <w:rPr>
          <w:sz w:val="20"/>
          <w:szCs w:val="20"/>
          <w:color w:val="auto"/>
        </w:rPr>
      </w:pPr>
      <w:r>
        <w:rPr>
          <w:rFonts w:ascii="Arial" w:cs="Arial" w:eastAsia="Arial" w:hAnsi="Arial"/>
          <w:sz w:val="17"/>
          <w:szCs w:val="17"/>
          <w:color w:val="231F20"/>
        </w:rPr>
        <w:t>The following table presents a reconciliation of net loss to adjusted EBITDA for the three and six months ended June 30, 2023 and 2022:</w:t>
      </w:r>
    </w:p>
    <w:p>
      <w:pPr>
        <w:spacing w:after="0" w:line="129"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4"/>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(27,655)</w:t>
            </w:r>
          </w:p>
        </w:tc>
      </w:tr>
      <w:tr>
        <w:trPr>
          <w:trHeight w:val="232"/>
        </w:trPr>
        <w:tc>
          <w:tcPr>
            <w:tcW w:w="4580" w:type="dxa"/>
            <w:vAlign w:val="bottom"/>
          </w:tcPr>
          <w:p>
            <w:pPr>
              <w:ind w:left="20"/>
              <w:spacing w:after="0"/>
              <w:rPr>
                <w:sz w:val="20"/>
                <w:szCs w:val="20"/>
                <w:color w:val="auto"/>
              </w:rPr>
            </w:pPr>
            <w:r>
              <w:rPr>
                <w:rFonts w:ascii="Arial" w:cs="Arial" w:eastAsia="Arial" w:hAnsi="Arial"/>
                <w:sz w:val="18"/>
                <w:szCs w:val="18"/>
                <w:color w:val="auto"/>
              </w:rPr>
              <w:t>Add back:</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4"/>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(income), net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6"/>
        </w:trPr>
        <w:tc>
          <w:tcPr>
            <w:tcW w:w="4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6,380</w:t>
            </w:r>
          </w:p>
        </w:tc>
      </w:tr>
      <w:tr>
        <w:trPr>
          <w:trHeight w:val="24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14,144</w:t>
            </w:r>
          </w:p>
        </w:tc>
      </w:tr>
      <w:tr>
        <w:trPr>
          <w:trHeight w:val="226"/>
        </w:trPr>
        <w:tc>
          <w:tcPr>
            <w:tcW w:w="4580" w:type="dxa"/>
            <w:vAlign w:val="bottom"/>
            <w:tcBorders>
              <w:bottom w:val="single" w:sz="8" w:color="CCEEFF"/>
            </w:tcBorders>
          </w:tcPr>
          <w:p>
            <w:pPr>
              <w:ind w:left="180"/>
              <w:spacing w:after="0" w:line="226"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640"/>
        <w:spacing w:after="0"/>
        <w:rPr>
          <w:sz w:val="20"/>
          <w:szCs w:val="20"/>
          <w:color w:val="auto"/>
        </w:rPr>
      </w:pPr>
      <w:r>
        <w:rPr>
          <w:rFonts w:ascii="Arial" w:cs="Arial" w:eastAsia="Arial" w:hAnsi="Arial"/>
          <w:sz w:val="18"/>
          <w:szCs w:val="18"/>
          <w:color w:val="231F20"/>
        </w:rPr>
        <w:t>(1) Restructuring includes adjustments to severance charges initially recognized during the prior year.</w:t>
      </w:r>
    </w:p>
    <w:p>
      <w:pPr>
        <w:spacing w:after="0" w:line="219" w:lineRule="exact"/>
        <w:rPr>
          <w:sz w:val="20"/>
          <w:szCs w:val="20"/>
          <w:color w:val="auto"/>
        </w:rPr>
      </w:pPr>
    </w:p>
    <w:p>
      <w:pPr>
        <w:ind w:right="440" w:firstLine="479"/>
        <w:spacing w:after="0" w:line="266" w:lineRule="auto"/>
        <w:rPr>
          <w:sz w:val="20"/>
          <w:szCs w:val="20"/>
          <w:color w:val="auto"/>
        </w:rPr>
      </w:pPr>
      <w:r>
        <w:rPr>
          <w:rFonts w:ascii="Arial" w:cs="Arial" w:eastAsia="Arial" w:hAnsi="Arial"/>
          <w:sz w:val="18"/>
          <w:szCs w:val="18"/>
          <w:color w:val="231F20"/>
        </w:rPr>
        <w:t>The following table presents the calculation of net loss as a percentage of gross profit and the calculation of adjusted EBITDA as a percentage of contribution ex-TAC for the three and six months ended June 30, 2023 and 2022:</w:t>
      </w:r>
    </w:p>
    <w:p>
      <w:pPr>
        <w:spacing w:after="0" w:line="79"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4"/>
          </w:tcPr>
          <w:p>
            <w:pPr>
              <w:jc w:val="right"/>
              <w:ind w:right="591"/>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right"/>
              <w:ind w:right="711"/>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4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4"/>
        </w:trPr>
        <w:tc>
          <w:tcPr>
            <w:tcW w:w="4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r>
      <w:tr>
        <w:trPr>
          <w:trHeight w:val="22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23,700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20,250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42,083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36,685</w:t>
            </w:r>
          </w:p>
        </w:tc>
      </w:tr>
      <w:tr>
        <w:trPr>
          <w:trHeight w:val="232"/>
        </w:trPr>
        <w:tc>
          <w:tcPr>
            <w:tcW w:w="4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(3,203)</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(14,092)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(12,579)</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(27,655)</w:t>
            </w:r>
          </w:p>
        </w:tc>
      </w:tr>
      <w:tr>
        <w:trPr>
          <w:trHeight w:val="23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as a percentage of gross profit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6"/>
        </w:trPr>
        <w:tc>
          <w:tcPr>
            <w:tcW w:w="4260" w:type="dxa"/>
            <w:vAlign w:val="bottom"/>
          </w:tcPr>
          <w:p>
            <w:pPr>
              <w:ind w:left="20"/>
              <w:spacing w:after="0" w:line="226" w:lineRule="exact"/>
              <w:rPr>
                <w:sz w:val="20"/>
                <w:szCs w:val="20"/>
                <w:color w:val="auto"/>
              </w:rPr>
            </w:pPr>
            <w:r>
              <w:rPr>
                <w:rFonts w:ascii="Arial" w:cs="Arial" w:eastAsia="Arial" w:hAnsi="Arial"/>
                <w:sz w:val="18"/>
                <w:szCs w:val="18"/>
                <w:color w:val="auto"/>
              </w:rPr>
              <w:t>Contribution ex-TAC</w:t>
            </w:r>
            <w:r>
              <w:rPr>
                <w:rFonts w:ascii="Arial" w:cs="Arial" w:eastAsia="Arial" w:hAnsi="Arial"/>
                <w:sz w:val="23"/>
                <w:szCs w:val="23"/>
                <w:color w:val="auto"/>
                <w:vertAlign w:val="superscript"/>
              </w:rPr>
              <w:t>(1)</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33,688</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31,735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61,679</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59,279</w:t>
            </w:r>
          </w:p>
        </w:tc>
      </w:tr>
      <w:tr>
        <w:trPr>
          <w:trHeight w:val="24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6,816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(3,077)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6,426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(6,958)</w:t>
            </w: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w w:val="92"/>
              </w:rPr>
              <w:t>Adjusted EBITDA as a percentage of contribution ex-TAC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95" w:lineRule="exact"/>
        <w:rPr>
          <w:sz w:val="20"/>
          <w:szCs w:val="20"/>
          <w:color w:val="auto"/>
        </w:rPr>
      </w:pPr>
    </w:p>
    <w:p>
      <w:pPr>
        <w:ind w:left="960" w:right="280" w:hanging="315"/>
        <w:spacing w:after="0" w:line="266" w:lineRule="auto"/>
        <w:tabs>
          <w:tab w:leader="none" w:pos="9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For a reconciliation of contribution ex-TAC to the most directly comparable financial measure calculated in accordance with GAAP, see “</w:t>
      </w:r>
      <w:r>
        <w:rPr>
          <w:rFonts w:ascii="Arial" w:cs="Arial" w:eastAsia="Arial" w:hAnsi="Arial"/>
          <w:sz w:val="18"/>
          <w:szCs w:val="18"/>
          <w:i w:val="1"/>
          <w:iCs w:val="1"/>
          <w:color w:val="231F20"/>
        </w:rPr>
        <w:t>—</w:t>
      </w:r>
      <w:r>
        <w:rPr>
          <w:rFonts w:ascii="Arial" w:cs="Arial" w:eastAsia="Arial" w:hAnsi="Arial"/>
          <w:sz w:val="18"/>
          <w:szCs w:val="18"/>
          <w:color w:val="231F20"/>
        </w:rPr>
        <w:t xml:space="preserve"> </w:t>
      </w:r>
      <w:r>
        <w:rPr>
          <w:rFonts w:ascii="Arial" w:cs="Arial" w:eastAsia="Arial" w:hAnsi="Arial"/>
          <w:sz w:val="18"/>
          <w:szCs w:val="18"/>
          <w:i w:val="1"/>
          <w:iCs w:val="1"/>
          <w:color w:val="231F20"/>
        </w:rPr>
        <w:t>Contribution ex-TAC</w:t>
      </w:r>
      <w:r>
        <w:rPr>
          <w:rFonts w:ascii="Arial" w:cs="Arial" w:eastAsia="Arial" w:hAnsi="Arial"/>
          <w:sz w:val="18"/>
          <w:szCs w:val="18"/>
          <w:color w:val="231F2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Non-GAAP net income (loss)</w:t>
      </w:r>
    </w:p>
    <w:p>
      <w:pPr>
        <w:spacing w:after="0" w:line="112" w:lineRule="exact"/>
        <w:rPr>
          <w:sz w:val="20"/>
          <w:szCs w:val="20"/>
          <w:color w:val="auto"/>
        </w:rPr>
      </w:pPr>
    </w:p>
    <w:p>
      <w:pPr>
        <w:ind w:firstLine="479"/>
        <w:spacing w:after="0" w:line="266" w:lineRule="auto"/>
        <w:rPr>
          <w:sz w:val="20"/>
          <w:szCs w:val="20"/>
          <w:color w:val="auto"/>
        </w:rPr>
      </w:pPr>
      <w:r>
        <w:rPr>
          <w:rFonts w:ascii="Arial" w:cs="Arial" w:eastAsia="Arial" w:hAnsi="Arial"/>
          <w:sz w:val="17"/>
          <w:szCs w:val="17"/>
          <w:color w:val="231F20"/>
        </w:rPr>
        <w:t>Non-GAAP net income (loss) is a non-GAAP financial measure defined by us as net income (loss) adjusted to eliminate the impact of stock-based compensation and certain other items that are not related to our core operations, such as restructuring charges, transaction expenses and the extinguishment of debt.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77" w:lineRule="exact"/>
        <w:rPr>
          <w:sz w:val="20"/>
          <w:szCs w:val="20"/>
          <w:color w:val="auto"/>
        </w:rPr>
      </w:pPr>
    </w:p>
    <w:p>
      <w:pPr>
        <w:ind w:firstLine="479"/>
        <w:spacing w:after="0" w:line="270" w:lineRule="auto"/>
        <w:rPr>
          <w:sz w:val="20"/>
          <w:szCs w:val="20"/>
          <w:color w:val="auto"/>
        </w:rPr>
      </w:pPr>
      <w:r>
        <w:rPr>
          <w:rFonts w:ascii="Arial" w:cs="Arial" w:eastAsia="Arial" w:hAnsi="Arial"/>
          <w:sz w:val="17"/>
          <w:szCs w:val="17"/>
          <w:color w:val="231F20"/>
        </w:rPr>
        <w:t>Our use of non-GAAP net income (loss)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these and other limitations, you should consider our non-GAAP financial measures only as supplemental to other GAAP-based financial performance measures, including revenue, gross profit, net income (loss) and cash flows.</w:t>
      </w:r>
    </w:p>
    <w:p>
      <w:pPr>
        <w:spacing w:after="0" w:line="39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jc w:val="center"/>
        <w:ind w:left="48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34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xml:space="preserve">The following table presents a reconciliation of net loss to non-GAAP net income (loss) for the </w:t>
      </w:r>
      <w:r>
        <w:rPr>
          <w:rFonts w:ascii="Arial" w:cs="Arial" w:eastAsia="Arial" w:hAnsi="Arial"/>
          <w:sz w:val="16"/>
          <w:szCs w:val="16"/>
          <w:color w:val="231F20"/>
        </w:rPr>
        <w:t>three and six months ended June 30, 2023 and 2022:</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5"/>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(27,655)</w:t>
            </w:r>
          </w:p>
        </w:tc>
        <w:tc>
          <w:tcPr>
            <w:tcW w:w="0" w:type="dxa"/>
            <w:vAlign w:val="bottom"/>
          </w:tcPr>
          <w:p>
            <w:pPr>
              <w:spacing w:after="0"/>
              <w:rPr>
                <w:sz w:val="1"/>
                <w:szCs w:val="1"/>
                <w:color w:val="auto"/>
              </w:rPr>
            </w:pPr>
          </w:p>
        </w:tc>
      </w:tr>
      <w:tr>
        <w:trPr>
          <w:trHeight w:val="232"/>
        </w:trPr>
        <w:tc>
          <w:tcPr>
            <w:tcW w:w="4580" w:type="dxa"/>
            <w:vAlign w:val="bottom"/>
          </w:tcPr>
          <w:p>
            <w:pPr>
              <w:ind w:left="180"/>
              <w:spacing w:after="0"/>
              <w:rPr>
                <w:sz w:val="20"/>
                <w:szCs w:val="20"/>
                <w:color w:val="auto"/>
              </w:rPr>
            </w:pPr>
            <w:r>
              <w:rPr>
                <w:rFonts w:ascii="Arial" w:cs="Arial" w:eastAsia="Arial" w:hAnsi="Arial"/>
                <w:sz w:val="18"/>
                <w:szCs w:val="18"/>
                <w:color w:val="auto"/>
              </w:rPr>
              <w:t>Add back: Stock-based compensation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14,144</w:t>
            </w:r>
          </w:p>
        </w:tc>
        <w:tc>
          <w:tcPr>
            <w:tcW w:w="0" w:type="dxa"/>
            <w:vAlign w:val="bottom"/>
          </w:tcPr>
          <w:p>
            <w:pPr>
              <w:spacing w:after="0"/>
              <w:rPr>
                <w:sz w:val="1"/>
                <w:szCs w:val="1"/>
                <w:color w:val="auto"/>
              </w:rPr>
            </w:pPr>
          </w:p>
        </w:tc>
      </w:tr>
      <w:tr>
        <w:trPr>
          <w:trHeight w:val="234"/>
        </w:trPr>
        <w:tc>
          <w:tcPr>
            <w:tcW w:w="4580" w:type="dxa"/>
            <w:vAlign w:val="bottom"/>
            <w:shd w:val="clear" w:color="auto" w:fill="CCEEFF"/>
          </w:tcPr>
          <w:p>
            <w:pPr>
              <w:ind w:left="180"/>
              <w:spacing w:after="0" w:line="233" w:lineRule="exact"/>
              <w:rPr>
                <w:sz w:val="20"/>
                <w:szCs w:val="20"/>
                <w:color w:val="auto"/>
              </w:rPr>
            </w:pPr>
            <w:r>
              <w:rPr>
                <w:rFonts w:ascii="Arial" w:cs="Arial" w:eastAsia="Arial" w:hAnsi="Arial"/>
                <w:sz w:val="18"/>
                <w:szCs w:val="18"/>
                <w:color w:val="auto"/>
              </w:rPr>
              <w:t>Add back: Restructuring</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4580" w:type="dxa"/>
            <w:vAlign w:val="bottom"/>
          </w:tcPr>
          <w:p>
            <w:pPr>
              <w:ind w:left="180"/>
              <w:spacing w:after="0" w:line="174" w:lineRule="exact"/>
              <w:rPr>
                <w:sz w:val="20"/>
                <w:szCs w:val="20"/>
                <w:color w:val="auto"/>
              </w:rPr>
            </w:pPr>
            <w:r>
              <w:rPr>
                <w:rFonts w:ascii="Arial" w:cs="Arial" w:eastAsia="Arial" w:hAnsi="Arial"/>
                <w:sz w:val="18"/>
                <w:szCs w:val="18"/>
                <w:color w:val="auto"/>
              </w:rPr>
              <w:t>Less: Income tax benefit (expense) related to Viant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5"/>
        </w:trPr>
        <w:tc>
          <w:tcPr>
            <w:tcW w:w="4580" w:type="dxa"/>
            <w:vAlign w:val="bottom"/>
          </w:tcPr>
          <w:p>
            <w:pPr>
              <w:ind w:left="180"/>
              <w:spacing w:after="0" w:line="225" w:lineRule="exact"/>
              <w:rPr>
                <w:sz w:val="20"/>
                <w:szCs w:val="20"/>
                <w:color w:val="auto"/>
              </w:rPr>
            </w:pPr>
            <w:r>
              <w:rPr>
                <w:rFonts w:ascii="Arial" w:cs="Arial" w:eastAsia="Arial" w:hAnsi="Arial"/>
                <w:sz w:val="18"/>
                <w:szCs w:val="18"/>
                <w:color w:val="auto"/>
              </w:rPr>
              <w:t>Technology Inc.’s share of adjustments</w:t>
            </w:r>
            <w:r>
              <w:rPr>
                <w:rFonts w:ascii="Arial" w:cs="Arial" w:eastAsia="Arial" w:hAnsi="Arial"/>
                <w:sz w:val="23"/>
                <w:szCs w:val="23"/>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(loss)</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960" w:hanging="315"/>
        <w:spacing w:after="0"/>
        <w:tabs>
          <w:tab w:leader="none" w:pos="9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Restructuring includes adjustments to severance charges initially recognized during the prior year.</w:t>
      </w:r>
    </w:p>
    <w:p>
      <w:pPr>
        <w:spacing w:after="0" w:line="112" w:lineRule="exact"/>
        <w:rPr>
          <w:rFonts w:ascii="Arial" w:cs="Arial" w:eastAsia="Arial" w:hAnsi="Arial"/>
          <w:sz w:val="18"/>
          <w:szCs w:val="18"/>
          <w:color w:val="231F20"/>
        </w:rPr>
      </w:pPr>
    </w:p>
    <w:p>
      <w:pPr>
        <w:ind w:left="960" w:right="140" w:hanging="315"/>
        <w:spacing w:after="0" w:line="256" w:lineRule="auto"/>
        <w:tabs>
          <w:tab w:leader="none" w:pos="9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estimated income tax effect of our share of non-GAAP reconciling items for the three and six months ended June 30, 2023 and 2022 are calculated using assumed blended tax rates of 20% and 25%, respectively, which represent our expected corporate tax rates, excluding discrete and non-recurring tax items.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Non-GAAP earnings (loss) per share of Class A common stock</w:t>
      </w:r>
      <w:r>
        <w:rPr>
          <w:rFonts w:ascii="Arial" w:cs="Arial" w:eastAsia="Arial" w:hAnsi="Arial"/>
          <w:sz w:val="18"/>
          <w:szCs w:val="18"/>
          <w:color w:val="000000"/>
        </w:rPr>
        <w:t>—</w:t>
      </w:r>
      <w:r>
        <w:rPr>
          <w:rFonts w:ascii="Arial" w:cs="Arial" w:eastAsia="Arial" w:hAnsi="Arial"/>
          <w:sz w:val="18"/>
          <w:szCs w:val="18"/>
          <w:i w:val="1"/>
          <w:iCs w:val="1"/>
          <w:color w:val="000000"/>
        </w:rPr>
        <w:t>basic and diluted</w:t>
      </w:r>
    </w:p>
    <w:p>
      <w:pPr>
        <w:spacing w:after="0" w:line="112" w:lineRule="exact"/>
        <w:rPr>
          <w:sz w:val="20"/>
          <w:szCs w:val="20"/>
          <w:color w:val="auto"/>
        </w:rPr>
      </w:pPr>
    </w:p>
    <w:p>
      <w:pPr>
        <w:ind w:firstLine="479"/>
        <w:spacing w:after="0" w:line="265" w:lineRule="auto"/>
        <w:rPr>
          <w:sz w:val="20"/>
          <w:szCs w:val="20"/>
          <w:color w:val="auto"/>
        </w:rPr>
      </w:pPr>
      <w:r>
        <w:rPr>
          <w:rFonts w:ascii="Arial" w:cs="Arial" w:eastAsia="Arial" w:hAnsi="Arial"/>
          <w:sz w:val="17"/>
          <w:szCs w:val="17"/>
          <w:color w:val="231F20"/>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charges, transaction expenses and the extinguishment of debt.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gain on extinguishment of debt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stock—basic and diluted provides information to investors and the market generally in understanding and evaluating our results of operations in the same manner as our management and board of directors.</w:t>
      </w:r>
    </w:p>
    <w:p>
      <w:pPr>
        <w:spacing w:after="0" w:line="78" w:lineRule="exact"/>
        <w:rPr>
          <w:sz w:val="20"/>
          <w:szCs w:val="20"/>
          <w:color w:val="auto"/>
        </w:rPr>
      </w:pPr>
    </w:p>
    <w:p>
      <w:pPr>
        <w:ind w:right="160" w:firstLine="479"/>
        <w:spacing w:after="0" w:line="330" w:lineRule="auto"/>
        <w:rPr>
          <w:sz w:val="20"/>
          <w:szCs w:val="20"/>
          <w:color w:val="auto"/>
        </w:rPr>
      </w:pPr>
      <w:r>
        <w:rPr>
          <w:rFonts w:ascii="Arial" w:cs="Arial" w:eastAsia="Arial" w:hAnsi="Arial"/>
          <w:sz w:val="16"/>
          <w:szCs w:val="16"/>
          <w:color w:val="231F20"/>
        </w:rPr>
        <w:t>Our use of non-GAAP earnings (loss) per share of Class A common stock—basic and diluted has limitations as an analytical tool, and you should not consider it in isolation or as a substitute for analysis of our financial results as reported under GAAP. Some of these potential limitations include:</w:t>
      </w:r>
    </w:p>
    <w:p>
      <w:pPr>
        <w:spacing w:after="0" w:line="27" w:lineRule="exact"/>
        <w:rPr>
          <w:sz w:val="20"/>
          <w:szCs w:val="20"/>
          <w:color w:val="auto"/>
        </w:rPr>
      </w:pPr>
    </w:p>
    <w:p>
      <w:pPr>
        <w:ind w:left="1280" w:right="200" w:hanging="635"/>
        <w:spacing w:after="0" w:line="256"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and</w:t>
      </w:r>
    </w:p>
    <w:p>
      <w:pPr>
        <w:spacing w:after="0" w:line="83" w:lineRule="exact"/>
        <w:rPr>
          <w:rFonts w:ascii="Arial" w:cs="Arial" w:eastAsia="Arial" w:hAnsi="Arial"/>
          <w:sz w:val="18"/>
          <w:szCs w:val="18"/>
          <w:color w:val="auto"/>
        </w:rPr>
      </w:pPr>
    </w:p>
    <w:p>
      <w:pPr>
        <w:ind w:left="1280" w:right="160" w:hanging="635"/>
        <w:spacing w:after="0" w:line="330" w:lineRule="auto"/>
        <w:tabs>
          <w:tab w:leader="none" w:pos="1280" w:val="left"/>
        </w:tabs>
        <w:numPr>
          <w:ilvl w:val="0"/>
          <w:numId w:val="26"/>
        </w:numPr>
        <w:rPr>
          <w:rFonts w:ascii="Arial" w:cs="Arial" w:eastAsia="Arial" w:hAnsi="Arial"/>
          <w:sz w:val="16"/>
          <w:szCs w:val="16"/>
          <w:color w:val="auto"/>
        </w:rPr>
      </w:pPr>
      <w:r>
        <w:rPr>
          <w:rFonts w:ascii="Arial" w:cs="Arial" w:eastAsia="Arial" w:hAnsi="Arial"/>
          <w:sz w:val="16"/>
          <w:szCs w:val="16"/>
          <w:color w:val="231F20"/>
        </w:rPr>
        <w:t>although the stock-based compensation related to the LTIP referred to above is non-cash in nature, non-GAAP earnings (loss) per share of Class A common stock—basic and diluted does not reflect its impact on net income (loss) attributable to all common stockholders.</w:t>
      </w:r>
    </w:p>
    <w:p>
      <w:pPr>
        <w:spacing w:after="0" w:line="27" w:lineRule="exact"/>
        <w:rPr>
          <w:sz w:val="20"/>
          <w:szCs w:val="20"/>
          <w:color w:val="auto"/>
        </w:rPr>
      </w:pPr>
    </w:p>
    <w:p>
      <w:pPr>
        <w:ind w:right="920" w:firstLine="479"/>
        <w:spacing w:after="0" w:line="266" w:lineRule="auto"/>
        <w:rPr>
          <w:sz w:val="20"/>
          <w:szCs w:val="20"/>
          <w:color w:val="auto"/>
        </w:rPr>
      </w:pPr>
      <w:r>
        <w:rPr>
          <w:rFonts w:ascii="Arial" w:cs="Arial" w:eastAsia="Arial" w:hAnsi="Arial"/>
          <w:sz w:val="18"/>
          <w:szCs w:val="18"/>
          <w:color w:val="231F20"/>
        </w:rPr>
        <w:t>Because of these and other limitations, you should consider our non-GAAP measures only as supplemental to other GAAP-based financial performance measures, including earnings (loss) per share of Class A common stock—basic and diluted.</w:t>
      </w:r>
    </w:p>
    <w:p>
      <w:pPr>
        <w:spacing w:after="0" w:line="74" w:lineRule="exact"/>
        <w:rPr>
          <w:sz w:val="20"/>
          <w:szCs w:val="20"/>
          <w:color w:val="auto"/>
        </w:rPr>
      </w:pPr>
    </w:p>
    <w:p>
      <w:pPr>
        <w:jc w:val="both"/>
        <w:ind w:right="80" w:firstLine="479"/>
        <w:spacing w:after="0" w:line="253" w:lineRule="auto"/>
        <w:rPr>
          <w:sz w:val="20"/>
          <w:szCs w:val="20"/>
          <w:color w:val="auto"/>
        </w:rPr>
      </w:pPr>
      <w:r>
        <w:rPr>
          <w:rFonts w:ascii="Arial" w:cs="Arial" w:eastAsia="Arial" w:hAnsi="Arial"/>
          <w:sz w:val="18"/>
          <w:szCs w:val="18"/>
          <w:color w:val="auto"/>
        </w:rPr>
        <w:t xml:space="preserve">Basic non-GAAP earnings (loss) per share of Class A common stock is calculated by dividing the non-GAAP net income (loss) attributable to Class A common stockholders by the number of weighted-average shares of Class A common stock outstanding. </w:t>
      </w:r>
      <w:r>
        <w:rPr>
          <w:rFonts w:ascii="Arial" w:cs="Arial" w:eastAsia="Arial" w:hAnsi="Arial"/>
          <w:sz w:val="18"/>
          <w:szCs w:val="18"/>
          <w:color w:val="231F20"/>
        </w:rPr>
        <w:t>Shares of our Class B common stock do not share in</w:t>
      </w:r>
      <w:r>
        <w:rPr>
          <w:rFonts w:ascii="Arial" w:cs="Arial" w:eastAsia="Arial" w:hAnsi="Arial"/>
          <w:sz w:val="18"/>
          <w:szCs w:val="18"/>
          <w:color w:val="auto"/>
        </w:rPr>
        <w:t xml:space="preserve"> </w:t>
      </w:r>
      <w:r>
        <w:rPr>
          <w:rFonts w:ascii="Arial" w:cs="Arial" w:eastAsia="Arial" w:hAnsi="Arial"/>
          <w:sz w:val="18"/>
          <w:szCs w:val="18"/>
          <w:color w:val="231F20"/>
        </w:rPr>
        <w:t>our earnings or losses and are therefore not participating securities. As such, separate presentation of basic and diluted non-GAAP earnings (loss) of Class B common stock under the two-class method has not been presented.</w:t>
      </w:r>
    </w:p>
    <w:p>
      <w:pPr>
        <w:spacing w:after="0" w:line="86" w:lineRule="exact"/>
        <w:rPr>
          <w:sz w:val="20"/>
          <w:szCs w:val="20"/>
          <w:color w:val="auto"/>
        </w:rPr>
      </w:pPr>
    </w:p>
    <w:p>
      <w:pPr>
        <w:ind w:right="100" w:firstLine="479"/>
        <w:spacing w:after="0" w:line="250" w:lineRule="auto"/>
        <w:rPr>
          <w:sz w:val="20"/>
          <w:szCs w:val="20"/>
          <w:color w:val="auto"/>
        </w:rPr>
      </w:pPr>
      <w:r>
        <w:rPr>
          <w:rFonts w:ascii="Arial" w:cs="Arial" w:eastAsia="Arial" w:hAnsi="Arial"/>
          <w:sz w:val="18"/>
          <w:szCs w:val="18"/>
          <w:color w:val="auto"/>
        </w:rPr>
        <w:t xml:space="preserve">Diluted non-GAAP earnings (loss) per share of Class A common stock adjusts the basic non-GAAP earnings (loss) per share for the potential dilutive impact of common shares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w:t>
      </w:r>
      <w:r>
        <w:rPr>
          <w:rFonts w:ascii="Arial" w:cs="Arial" w:eastAsia="Arial" w:hAnsi="Arial"/>
          <w:sz w:val="18"/>
          <w:szCs w:val="18"/>
          <w:color w:val="231F20"/>
        </w:rPr>
        <w:t>three and six</w:t>
      </w:r>
      <w:r>
        <w:rPr>
          <w:rFonts w:ascii="Arial" w:cs="Arial" w:eastAsia="Arial" w:hAnsi="Arial"/>
          <w:sz w:val="18"/>
          <w:szCs w:val="18"/>
          <w:color w:val="auto"/>
        </w:rPr>
        <w:t xml:space="preserve"> months ended </w:t>
      </w:r>
      <w:r>
        <w:rPr>
          <w:rFonts w:ascii="Arial" w:cs="Arial" w:eastAsia="Arial" w:hAnsi="Arial"/>
          <w:sz w:val="18"/>
          <w:szCs w:val="18"/>
          <w:color w:val="231F20"/>
        </w:rPr>
        <w:t>June 30, 2023 and 2022</w:t>
      </w:r>
      <w:r>
        <w:rPr>
          <w:rFonts w:ascii="Arial" w:cs="Arial" w:eastAsia="Arial" w:hAnsi="Arial"/>
          <w:sz w:val="18"/>
          <w:szCs w:val="18"/>
          <w:color w:val="auto"/>
        </w:rPr>
        <w:t>, Class B common stock, RSUs,</w:t>
      </w:r>
    </w:p>
    <w:p>
      <w:pPr>
        <w:spacing w:after="0" w:line="200" w:lineRule="exact"/>
        <w:rPr>
          <w:sz w:val="20"/>
          <w:szCs w:val="20"/>
          <w:color w:val="auto"/>
        </w:rPr>
      </w:pPr>
    </w:p>
    <w:p>
      <w:pPr>
        <w:spacing w:after="0" w:line="21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ind w:left="4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34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and nonqualified stock options amounts have been excluded from the computation of diluted earnings (loss) per share of Class A common stock because the effect would have been anti-dilutive under the if-converted and treasury stock method, respectively.</w:t>
      </w:r>
    </w:p>
    <w:p>
      <w:pPr>
        <w:spacing w:after="0" w:line="39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5" w:name="page36"/>
    <w:bookmarkEnd w:id="35"/>
    <w:p>
      <w:pPr>
        <w:jc w:val="center"/>
        <w:ind w:left="4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341" w:lineRule="exact"/>
        <w:rPr>
          <w:sz w:val="20"/>
          <w:szCs w:val="20"/>
          <w:color w:val="auto"/>
        </w:rPr>
      </w:pPr>
    </w:p>
    <w:p>
      <w:pPr>
        <w:ind w:left="480"/>
        <w:spacing w:after="0"/>
        <w:rPr>
          <w:sz w:val="20"/>
          <w:szCs w:val="20"/>
          <w:color w:val="auto"/>
        </w:rPr>
      </w:pPr>
      <w:r>
        <w:rPr>
          <w:rFonts w:ascii="Arial" w:cs="Arial" w:eastAsia="Arial" w:hAnsi="Arial"/>
          <w:sz w:val="16"/>
          <w:szCs w:val="16"/>
          <w:color w:val="231F20"/>
        </w:rPr>
        <w:t>The following tables present the reconciliation of earnings (loss) per share of Class A common stock—basic and diluted to non-GAAP earnings (loss)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231F20"/>
        </w:rPr>
        <w:t>per share of Class A common stock—basic and diluted for the three and six months ended June 30, 2023 and 2022:</w:t>
      </w:r>
    </w:p>
    <w:p>
      <w:pPr>
        <w:spacing w:after="0" w:line="116"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0"/>
              </w:rPr>
              <w:t>June 30, 2023</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0"/>
              </w:rPr>
              <w:t>June 30, 2022</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54"/>
              <w:spacing w:after="0" w:line="136" w:lineRule="exact"/>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93"/>
              <w:spacing w:after="0" w:line="136" w:lineRule="exact"/>
              <w:rPr>
                <w:sz w:val="20"/>
                <w:szCs w:val="20"/>
                <w:color w:val="auto"/>
              </w:rPr>
            </w:pPr>
            <w:r>
              <w:rPr>
                <w:rFonts w:ascii="Arial" w:cs="Arial" w:eastAsia="Arial" w:hAnsi="Arial"/>
                <w:sz w:val="14"/>
                <w:szCs w:val="14"/>
                <w:b w:val="1"/>
                <w:bCs w:val="1"/>
                <w:color w:val="auto"/>
                <w:w w:val="96"/>
              </w:rPr>
              <w:t>Non-GAAP</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54"/>
              <w:spacing w:after="0" w:line="136" w:lineRule="exact"/>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93"/>
              <w:spacing w:after="0" w:line="136" w:lineRule="exact"/>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88"/>
              </w:rPr>
              <w:t>(Loss) per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0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2"/>
              </w:rPr>
              <w:t>Earnings (Loss)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88"/>
              </w:rPr>
              <w:t>(Loss) per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0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2"/>
              </w:rPr>
              <w:t>Earnings (Loss)</w:t>
            </w:r>
          </w:p>
        </w:tc>
        <w:tc>
          <w:tcPr>
            <w:tcW w:w="0" w:type="dxa"/>
            <w:vAlign w:val="bottom"/>
          </w:tcPr>
          <w:p>
            <w:pPr>
              <w:spacing w:after="0"/>
              <w:rPr>
                <w:sz w:val="1"/>
                <w:szCs w:val="1"/>
                <w:color w:val="auto"/>
              </w:rPr>
            </w:pPr>
          </w:p>
        </w:tc>
      </w:tr>
      <w:tr>
        <w:trPr>
          <w:trHeight w:val="190"/>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per Share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(3,203)</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(14,092)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(14,092)</w:t>
            </w:r>
          </w:p>
        </w:tc>
        <w:tc>
          <w:tcPr>
            <w:tcW w:w="0" w:type="dxa"/>
            <w:vAlign w:val="bottom"/>
          </w:tcPr>
          <w:p>
            <w:pPr>
              <w:spacing w:after="0"/>
              <w:rPr>
                <w:sz w:val="1"/>
                <w:szCs w:val="1"/>
                <w:color w:val="auto"/>
              </w:rPr>
            </w:pPr>
          </w:p>
        </w:tc>
      </w:tr>
      <w:tr>
        <w:trPr>
          <w:trHeight w:val="24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180"/>
              <w:spacing w:after="0"/>
              <w:rPr>
                <w:sz w:val="20"/>
                <w:szCs w:val="20"/>
                <w:color w:val="auto"/>
              </w:rPr>
            </w:pPr>
            <w:r>
              <w:rPr>
                <w:rFonts w:ascii="Arial" w:cs="Arial" w:eastAsia="Arial" w:hAnsi="Arial"/>
                <w:sz w:val="18"/>
                <w:szCs w:val="18"/>
                <w:color w:val="auto"/>
              </w:rPr>
              <w:t>Add back: Stock-based compensation</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175"/>
        </w:trPr>
        <w:tc>
          <w:tcPr>
            <w:tcW w:w="4060" w:type="dxa"/>
            <w:vAlign w:val="bottom"/>
            <w:shd w:val="clear" w:color="auto" w:fill="CCEEFF"/>
          </w:tcPr>
          <w:p>
            <w:pPr>
              <w:ind w:left="180"/>
              <w:spacing w:after="0" w:line="175" w:lineRule="exact"/>
              <w:rPr>
                <w:sz w:val="20"/>
                <w:szCs w:val="20"/>
                <w:color w:val="auto"/>
              </w:rPr>
            </w:pPr>
            <w:r>
              <w:rPr>
                <w:rFonts w:ascii="Arial" w:cs="Arial" w:eastAsia="Arial" w:hAnsi="Arial"/>
                <w:sz w:val="18"/>
                <w:szCs w:val="18"/>
                <w:color w:val="auto"/>
              </w:rPr>
              <w:t>Income tax benefit (expense) related to Viant</w:t>
            </w: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shd w:val="clear" w:color="auto" w:fill="CCEEFF"/>
          </w:tcPr>
          <w:p>
            <w:pPr>
              <w:ind w:left="260"/>
              <w:spacing w:after="0" w:line="225" w:lineRule="exact"/>
              <w:rPr>
                <w:sz w:val="20"/>
                <w:szCs w:val="20"/>
                <w:color w:val="auto"/>
              </w:rPr>
            </w:pPr>
            <w:r>
              <w:rPr>
                <w:rFonts w:ascii="Arial" w:cs="Arial" w:eastAsia="Arial" w:hAnsi="Arial"/>
                <w:sz w:val="18"/>
                <w:szCs w:val="18"/>
                <w:color w:val="auto"/>
              </w:rPr>
              <w:t>Technology Inc.'s share of adjustments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20"/>
              <w:spacing w:after="0"/>
              <w:rPr>
                <w:sz w:val="20"/>
                <w:szCs w:val="20"/>
                <w:color w:val="auto"/>
              </w:rPr>
            </w:pPr>
            <w:r>
              <w:rPr>
                <w:rFonts w:ascii="Arial" w:cs="Arial" w:eastAsia="Arial" w:hAnsi="Arial"/>
                <w:sz w:val="18"/>
                <w:szCs w:val="18"/>
                <w:color w:val="auto"/>
              </w:rPr>
              <w:t>Non-GAAP net income (loss)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(5,934)</w:t>
            </w:r>
          </w:p>
        </w:tc>
        <w:tc>
          <w:tcPr>
            <w:tcW w:w="0" w:type="dxa"/>
            <w:vAlign w:val="bottom"/>
          </w:tcPr>
          <w:p>
            <w:pPr>
              <w:spacing w:after="0"/>
              <w:rPr>
                <w:sz w:val="1"/>
                <w:szCs w:val="1"/>
                <w:color w:val="auto"/>
              </w:rPr>
            </w:pPr>
          </w:p>
        </w:tc>
      </w:tr>
      <w:tr>
        <w:trPr>
          <w:trHeight w:val="180"/>
        </w:trPr>
        <w:tc>
          <w:tcPr>
            <w:tcW w:w="4060" w:type="dxa"/>
            <w:vAlign w:val="bottom"/>
            <w:shd w:val="clear" w:color="auto" w:fill="CCEEFF"/>
          </w:tcPr>
          <w:p>
            <w:pPr>
              <w:ind w:left="180"/>
              <w:spacing w:after="0" w:line="181" w:lineRule="exact"/>
              <w:rPr>
                <w:sz w:val="20"/>
                <w:szCs w:val="20"/>
                <w:color w:val="auto"/>
              </w:rPr>
            </w:pPr>
            <w:r>
              <w:rPr>
                <w:rFonts w:ascii="Arial" w:cs="Arial" w:eastAsia="Arial" w:hAnsi="Arial"/>
                <w:sz w:val="18"/>
                <w:szCs w:val="18"/>
                <w:color w:val="auto"/>
                <w:w w:val="92"/>
              </w:rPr>
              <w:t>Less: Net income (loss) attributable to noncontrolling</w:t>
            </w: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6,341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(10,691)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60"/>
              <w:spacing w:after="0" w:line="226" w:lineRule="exact"/>
              <w:rPr>
                <w:sz w:val="20"/>
                <w:szCs w:val="20"/>
                <w:color w:val="auto"/>
              </w:rPr>
            </w:pPr>
            <w:r>
              <w:rPr>
                <w:rFonts w:ascii="Arial" w:cs="Arial" w:eastAsia="Arial" w:hAnsi="Arial"/>
                <w:sz w:val="18"/>
                <w:szCs w:val="18"/>
                <w:color w:val="auto"/>
              </w:rPr>
              <w:t>interests</w:t>
            </w:r>
            <w:r>
              <w:rPr>
                <w:rFonts w:ascii="Arial" w:cs="Arial" w:eastAsia="Arial" w:hAnsi="Arial"/>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4060" w:type="dxa"/>
            <w:vAlign w:val="bottom"/>
          </w:tcPr>
          <w:p>
            <w:pPr>
              <w:ind w:left="20"/>
              <w:spacing w:after="0" w:line="167" w:lineRule="exact"/>
              <w:rPr>
                <w:sz w:val="20"/>
                <w:szCs w:val="20"/>
                <w:color w:val="auto"/>
              </w:rPr>
            </w:pPr>
            <w:r>
              <w:rPr>
                <w:rFonts w:ascii="Arial" w:cs="Arial" w:eastAsia="Arial" w:hAnsi="Arial"/>
                <w:sz w:val="18"/>
                <w:szCs w:val="18"/>
                <w:color w:val="auto"/>
                <w:w w:val="93"/>
              </w:rPr>
              <w:t>Net income (loss) attributable to Viant Technology Inc.</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(1,063)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(3,401)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2"/>
        </w:trPr>
        <w:tc>
          <w:tcPr>
            <w:tcW w:w="406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CEEFF"/>
          </w:tcPr>
          <w:p>
            <w:pPr>
              <w:ind w:left="180"/>
              <w:spacing w:after="0" w:line="167" w:lineRule="exact"/>
              <w:rPr>
                <w:sz w:val="20"/>
                <w:szCs w:val="20"/>
                <w:color w:val="auto"/>
              </w:rPr>
            </w:pPr>
            <w:r>
              <w:rPr>
                <w:rFonts w:ascii="Arial" w:cs="Arial" w:eastAsia="Arial" w:hAnsi="Arial"/>
                <w:sz w:val="18"/>
                <w:szCs w:val="18"/>
                <w:color w:val="auto"/>
              </w:rPr>
              <w:t>Add back: Reallocation of net loss attributable to</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60" w:type="dxa"/>
            <w:vAlign w:val="bottom"/>
            <w:shd w:val="clear" w:color="auto" w:fill="CCEEFF"/>
          </w:tcPr>
          <w:p>
            <w:pPr>
              <w:ind w:left="260"/>
              <w:spacing w:after="0" w:line="187" w:lineRule="exact"/>
              <w:rPr>
                <w:sz w:val="20"/>
                <w:szCs w:val="20"/>
                <w:color w:val="auto"/>
              </w:rPr>
            </w:pPr>
            <w:r>
              <w:rPr>
                <w:rFonts w:ascii="Arial" w:cs="Arial" w:eastAsia="Arial" w:hAnsi="Arial"/>
                <w:sz w:val="18"/>
                <w:szCs w:val="18"/>
                <w:color w:val="auto"/>
                <w:w w:val="92"/>
              </w:rPr>
              <w:t>noncontrolling interest from the assumed exchange</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of RSUs for Class A common stock</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4060" w:type="dxa"/>
            <w:vAlign w:val="bottom"/>
          </w:tcPr>
          <w:p>
            <w:pPr>
              <w:ind w:left="180"/>
              <w:spacing w:after="0" w:line="174" w:lineRule="exact"/>
              <w:rPr>
                <w:sz w:val="20"/>
                <w:szCs w:val="20"/>
                <w:color w:val="auto"/>
              </w:rPr>
            </w:pPr>
            <w:r>
              <w:rPr>
                <w:rFonts w:ascii="Arial" w:cs="Arial" w:eastAsia="Arial" w:hAnsi="Arial"/>
                <w:sz w:val="18"/>
                <w:szCs w:val="18"/>
                <w:color w:val="auto"/>
              </w:rPr>
              <w:t>Income tax benefit (expense) from the assumed</w:t>
            </w: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tcPr>
          <w:p>
            <w:pPr>
              <w:ind w:left="260"/>
              <w:spacing w:after="0"/>
              <w:rPr>
                <w:sz w:val="20"/>
                <w:szCs w:val="20"/>
                <w:color w:val="auto"/>
              </w:rPr>
            </w:pPr>
            <w:r>
              <w:rPr>
                <w:rFonts w:ascii="Arial" w:cs="Arial" w:eastAsia="Arial" w:hAnsi="Arial"/>
                <w:sz w:val="18"/>
                <w:szCs w:val="18"/>
                <w:color w:val="auto"/>
              </w:rPr>
              <w:t>exchange of RSUs for Class A common stock</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0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3"/>
              </w:rPr>
              <w:t>Net income (loss) attributable to Viant Technology Inc.</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rPr>
              <w:t>—diluted</w:t>
            </w: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6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w w:val="97"/>
              </w:rPr>
              <w:t>Weighted-average shares of Class A common stock</w:t>
            </w: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15,135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15,135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14,114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14,114</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—basic</w:t>
            </w: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7"/>
        </w:trPr>
        <w:tc>
          <w:tcPr>
            <w:tcW w:w="4060" w:type="dxa"/>
            <w:vAlign w:val="bottom"/>
          </w:tcPr>
          <w:p>
            <w:pPr>
              <w:ind w:left="20"/>
              <w:spacing w:after="0" w:line="167" w:lineRule="exact"/>
              <w:rPr>
                <w:sz w:val="20"/>
                <w:szCs w:val="20"/>
                <w:color w:val="auto"/>
              </w:rPr>
            </w:pPr>
            <w:r>
              <w:rPr>
                <w:rFonts w:ascii="Arial" w:cs="Arial" w:eastAsia="Arial" w:hAnsi="Arial"/>
                <w:sz w:val="18"/>
                <w:szCs w:val="18"/>
                <w:color w:val="auto"/>
                <w:w w:val="97"/>
              </w:rPr>
              <w:t>Weighted-average shares of Class A common stock</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15,135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15,355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14,114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14,114</w:t>
            </w:r>
          </w:p>
        </w:tc>
        <w:tc>
          <w:tcPr>
            <w:tcW w:w="0" w:type="dxa"/>
            <w:vAlign w:val="bottom"/>
          </w:tcPr>
          <w:p>
            <w:pPr>
              <w:spacing w:after="0"/>
              <w:rPr>
                <w:sz w:val="1"/>
                <w:szCs w:val="1"/>
                <w:color w:val="auto"/>
              </w:rPr>
            </w:pPr>
          </w:p>
        </w:tc>
      </w:tr>
      <w:tr>
        <w:trPr>
          <w:trHeight w:val="199"/>
        </w:trPr>
        <w:tc>
          <w:tcPr>
            <w:tcW w:w="4060" w:type="dxa"/>
            <w:vAlign w:val="bottom"/>
          </w:tcPr>
          <w:p>
            <w:pPr>
              <w:ind w:left="180"/>
              <w:spacing w:after="0" w:line="199" w:lineRule="exact"/>
              <w:rPr>
                <w:sz w:val="20"/>
                <w:szCs w:val="20"/>
                <w:color w:val="auto"/>
              </w:rPr>
            </w:pPr>
            <w:r>
              <w:rPr>
                <w:rFonts w:ascii="Arial" w:cs="Arial" w:eastAsia="Arial" w:hAnsi="Arial"/>
                <w:sz w:val="18"/>
                <w:szCs w:val="18"/>
                <w:color w:val="auto"/>
              </w:rPr>
              <w:t>outstanding —diluted</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0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4060" w:type="dxa"/>
            <w:vAlign w:val="bottom"/>
          </w:tcPr>
          <w:p>
            <w:pPr>
              <w:ind w:left="20"/>
              <w:spacing w:after="0" w:line="174" w:lineRule="exact"/>
              <w:rPr>
                <w:sz w:val="20"/>
                <w:szCs w:val="20"/>
                <w:color w:val="auto"/>
              </w:rPr>
            </w:pPr>
            <w:r>
              <w:rPr>
                <w:rFonts w:ascii="Arial" w:cs="Arial" w:eastAsia="Arial" w:hAnsi="Arial"/>
                <w:sz w:val="18"/>
                <w:szCs w:val="18"/>
                <w:color w:val="auto"/>
                <w:w w:val="94"/>
              </w:rPr>
              <w:t>Earnings (loss) per share of Class A common stock—</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2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0.06</w:t>
            </w:r>
          </w:p>
        </w:tc>
        <w:tc>
          <w:tcPr>
            <w:tcW w:w="8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(0.24)</w:t>
            </w:r>
          </w:p>
        </w:tc>
        <w:tc>
          <w:tcPr>
            <w:tcW w:w="2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0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4"/>
              </w:rPr>
              <w:t>Earnings (loss) per share of Class A common stock—</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rPr>
              <w:t>diluted</w:t>
            </w: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4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4"/>
              </w:rPr>
              <w:t>Anti-dilutive shares excluded from earnings (loss) per</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of Class A common stock—diluted:</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stock options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3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of Class B common stock</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0" w:type="dxa"/>
            <w:vAlign w:val="bottom"/>
          </w:tcPr>
          <w:p>
            <w:pPr>
              <w:spacing w:after="0"/>
              <w:rPr>
                <w:sz w:val="1"/>
                <w:szCs w:val="1"/>
                <w:color w:val="auto"/>
              </w:rPr>
            </w:pPr>
          </w:p>
        </w:tc>
      </w:tr>
      <w:tr>
        <w:trPr>
          <w:trHeight w:val="168"/>
        </w:trPr>
        <w:tc>
          <w:tcPr>
            <w:tcW w:w="40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1"/>
              </w:rPr>
              <w:t>Total shares excluded from earnings (loss) per share of</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57,085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52,845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55,761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55,761</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CCEEFF"/>
            </w:tcBorders>
            <w:shd w:val="clear" w:color="auto" w:fill="CCEEFF"/>
          </w:tcPr>
          <w:p>
            <w:pPr>
              <w:ind w:left="180"/>
              <w:spacing w:after="0" w:line="199" w:lineRule="exact"/>
              <w:rPr>
                <w:sz w:val="20"/>
                <w:szCs w:val="20"/>
                <w:color w:val="auto"/>
              </w:rPr>
            </w:pPr>
            <w:r>
              <w:rPr>
                <w:rFonts w:ascii="Arial" w:cs="Arial" w:eastAsia="Arial" w:hAnsi="Arial"/>
                <w:sz w:val="18"/>
                <w:szCs w:val="18"/>
                <w:color w:val="auto"/>
              </w:rPr>
              <w:t>Class A common stock—diluted</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960" w:right="160" w:hanging="315"/>
        <w:spacing w:after="0" w:line="256" w:lineRule="auto"/>
        <w:tabs>
          <w:tab w:leader="none" w:pos="9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estimated income tax effect of our share of non-GAAP reconciling items for the three months ended June 30, 2023 and 2022 are calculated using assumed blended tax rates of 20% and 25%, respectively, which represent our expected corporate tax rates, excluding discrete and non-recurring tax items.</w:t>
      </w:r>
    </w:p>
    <w:p>
      <w:pPr>
        <w:spacing w:after="0" w:line="83" w:lineRule="exact"/>
        <w:rPr>
          <w:rFonts w:ascii="Arial" w:cs="Arial" w:eastAsia="Arial" w:hAnsi="Arial"/>
          <w:sz w:val="18"/>
          <w:szCs w:val="18"/>
          <w:color w:val="231F20"/>
        </w:rPr>
      </w:pPr>
    </w:p>
    <w:p>
      <w:pPr>
        <w:ind w:left="960" w:right="100" w:hanging="315"/>
        <w:spacing w:after="0" w:line="266" w:lineRule="auto"/>
        <w:tabs>
          <w:tab w:leader="none" w:pos="9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adjustment to net income (loss) attributable to noncontrolling interests represents stock-based compensation attributed to the noncontrolling interests outstanding during the period.</w:t>
      </w:r>
    </w:p>
    <w:p>
      <w:pPr>
        <w:spacing w:after="0" w:line="39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36" w:name="page37"/>
    <w:bookmarkEnd w:id="36"/>
    <w:p>
      <w:pPr>
        <w:jc w:val="center"/>
        <w:ind w:right="-3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June 30, 2023</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June 30, 2022</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74"/>
              <w:spacing w:after="0" w:line="136" w:lineRule="exact"/>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73"/>
              <w:spacing w:after="0" w:line="136" w:lineRule="exact"/>
              <w:rPr>
                <w:sz w:val="20"/>
                <w:szCs w:val="20"/>
                <w:color w:val="auto"/>
              </w:rPr>
            </w:pPr>
            <w:r>
              <w:rPr>
                <w:rFonts w:ascii="Arial" w:cs="Arial" w:eastAsia="Arial" w:hAnsi="Arial"/>
                <w:sz w:val="14"/>
                <w:szCs w:val="14"/>
                <w:b w:val="1"/>
                <w:bCs w:val="1"/>
                <w:color w:val="auto"/>
                <w:w w:val="96"/>
              </w:rPr>
              <w:t>Non-GAAP</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54"/>
              <w:spacing w:after="0" w:line="136"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73"/>
              <w:spacing w:after="0" w:line="136" w:lineRule="exact"/>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91"/>
              </w:rPr>
              <w:t>(Loss) per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Adjustments</w:t>
            </w:r>
          </w:p>
        </w:tc>
        <w:tc>
          <w:tcPr>
            <w:tcW w:w="10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w w:val="90"/>
              </w:rPr>
              <w:t>Earnings (Loss)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88"/>
              </w:rPr>
              <w:t>(Loss) per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0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0"/>
              </w:rPr>
              <w:t>Earnings (Loss)</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74"/>
              <w:spacing w:after="0"/>
              <w:rPr>
                <w:sz w:val="20"/>
                <w:szCs w:val="20"/>
                <w:color w:val="auto"/>
              </w:rPr>
            </w:pPr>
            <w:r>
              <w:rPr>
                <w:rFonts w:ascii="Arial" w:cs="Arial" w:eastAsia="Arial" w:hAnsi="Arial"/>
                <w:sz w:val="14"/>
                <w:szCs w:val="14"/>
                <w:b w:val="1"/>
                <w:bCs w:val="1"/>
                <w:color w:val="auto"/>
                <w:w w:val="87"/>
              </w:rPr>
              <w:t>Share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Arial" w:cs="Arial" w:eastAsia="Arial" w:hAnsi="Arial"/>
                <w:sz w:val="14"/>
                <w:szCs w:val="14"/>
                <w:b w:val="1"/>
                <w:bCs w:val="1"/>
                <w:color w:val="auto"/>
                <w:w w:val="99"/>
              </w:rPr>
              <w:t>per Share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Arial" w:cs="Arial" w:eastAsia="Arial" w:hAnsi="Arial"/>
                <w:sz w:val="14"/>
                <w:szCs w:val="14"/>
                <w:b w:val="1"/>
                <w:bCs w:val="1"/>
                <w:color w:val="auto"/>
                <w:w w:val="99"/>
              </w:rPr>
              <w:t>per Share</w:t>
            </w: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(27,655)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(27,655)</w:t>
            </w:r>
          </w:p>
        </w:tc>
        <w:tc>
          <w:tcPr>
            <w:tcW w:w="0" w:type="dxa"/>
            <w:vAlign w:val="bottom"/>
          </w:tcPr>
          <w:p>
            <w:pPr>
              <w:spacing w:after="0"/>
              <w:rPr>
                <w:sz w:val="1"/>
                <w:szCs w:val="1"/>
                <w:color w:val="auto"/>
              </w:rPr>
            </w:pPr>
          </w:p>
        </w:tc>
      </w:tr>
      <w:tr>
        <w:trPr>
          <w:trHeight w:val="24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40" w:type="dxa"/>
            <w:vAlign w:val="bottom"/>
          </w:tcPr>
          <w:p>
            <w:pPr>
              <w:ind w:left="180"/>
              <w:spacing w:after="0"/>
              <w:rPr>
                <w:sz w:val="20"/>
                <w:szCs w:val="20"/>
                <w:color w:val="auto"/>
              </w:rPr>
            </w:pPr>
            <w:r>
              <w:rPr>
                <w:rFonts w:ascii="Arial" w:cs="Arial" w:eastAsia="Arial" w:hAnsi="Arial"/>
                <w:sz w:val="18"/>
                <w:szCs w:val="18"/>
                <w:color w:val="auto"/>
              </w:rPr>
              <w:t>Add back: Stock-based compensation</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14,144</w:t>
            </w:r>
          </w:p>
        </w:tc>
        <w:tc>
          <w:tcPr>
            <w:tcW w:w="0" w:type="dxa"/>
            <w:vAlign w:val="bottom"/>
          </w:tcPr>
          <w:p>
            <w:pPr>
              <w:spacing w:after="0"/>
              <w:rPr>
                <w:sz w:val="1"/>
                <w:szCs w:val="1"/>
                <w:color w:val="auto"/>
              </w:rPr>
            </w:pPr>
          </w:p>
        </w:tc>
      </w:tr>
      <w:tr>
        <w:trPr>
          <w:trHeight w:val="227"/>
        </w:trPr>
        <w:tc>
          <w:tcPr>
            <w:tcW w:w="3940" w:type="dxa"/>
            <w:vAlign w:val="bottom"/>
            <w:shd w:val="clear" w:color="auto" w:fill="CCEEFF"/>
          </w:tcPr>
          <w:p>
            <w:pPr>
              <w:ind w:left="180"/>
              <w:spacing w:after="0" w:line="226" w:lineRule="exact"/>
              <w:rPr>
                <w:sz w:val="20"/>
                <w:szCs w:val="20"/>
                <w:color w:val="auto"/>
              </w:rPr>
            </w:pPr>
            <w:r>
              <w:rPr>
                <w:rFonts w:ascii="Arial" w:cs="Arial" w:eastAsia="Arial" w:hAnsi="Arial"/>
                <w:sz w:val="18"/>
                <w:szCs w:val="18"/>
                <w:color w:val="auto"/>
              </w:rPr>
              <w:t>Add back: Restructuring</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3940" w:type="dxa"/>
            <w:vAlign w:val="bottom"/>
          </w:tcPr>
          <w:p>
            <w:pPr>
              <w:ind w:left="180"/>
              <w:spacing w:after="0" w:line="180" w:lineRule="exact"/>
              <w:rPr>
                <w:sz w:val="20"/>
                <w:szCs w:val="20"/>
                <w:color w:val="auto"/>
              </w:rPr>
            </w:pPr>
            <w:r>
              <w:rPr>
                <w:rFonts w:ascii="Arial" w:cs="Arial" w:eastAsia="Arial" w:hAnsi="Arial"/>
                <w:sz w:val="18"/>
                <w:szCs w:val="18"/>
                <w:color w:val="auto"/>
              </w:rPr>
              <w:t>Income tax benefit (expense) related to Viant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33"/>
        </w:trPr>
        <w:tc>
          <w:tcPr>
            <w:tcW w:w="3940" w:type="dxa"/>
            <w:vAlign w:val="bottom"/>
            <w:tcBorders>
              <w:bottom w:val="single" w:sz="8" w:color="CCEEFF"/>
            </w:tcBorders>
          </w:tcPr>
          <w:p>
            <w:pPr>
              <w:ind w:left="260"/>
              <w:spacing w:after="0" w:line="232" w:lineRule="exact"/>
              <w:rPr>
                <w:sz w:val="20"/>
                <w:szCs w:val="20"/>
                <w:color w:val="auto"/>
              </w:rPr>
            </w:pPr>
            <w:r>
              <w:rPr>
                <w:rFonts w:ascii="Arial" w:cs="Arial" w:eastAsia="Arial" w:hAnsi="Arial"/>
                <w:sz w:val="18"/>
                <w:szCs w:val="18"/>
                <w:color w:val="auto"/>
              </w:rPr>
              <w:t xml:space="preserve">Technology Inc.'s share of adjustments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(loss)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w:t>
            </w:r>
          </w:p>
        </w:tc>
        <w:tc>
          <w:tcPr>
            <w:tcW w:w="0" w:type="dxa"/>
            <w:vAlign w:val="bottom"/>
          </w:tcPr>
          <w:p>
            <w:pPr>
              <w:spacing w:after="0"/>
              <w:rPr>
                <w:sz w:val="1"/>
                <w:szCs w:val="1"/>
                <w:color w:val="auto"/>
              </w:rPr>
            </w:pPr>
          </w:p>
        </w:tc>
      </w:tr>
      <w:tr>
        <w:trPr>
          <w:trHeight w:val="174"/>
        </w:trPr>
        <w:tc>
          <w:tcPr>
            <w:tcW w:w="3940" w:type="dxa"/>
            <w:vAlign w:val="bottom"/>
          </w:tcPr>
          <w:p>
            <w:pPr>
              <w:ind w:left="180"/>
              <w:spacing w:after="0" w:line="174" w:lineRule="exact"/>
              <w:rPr>
                <w:sz w:val="20"/>
                <w:szCs w:val="20"/>
                <w:color w:val="auto"/>
              </w:rPr>
            </w:pPr>
            <w:r>
              <w:rPr>
                <w:rFonts w:ascii="Arial" w:cs="Arial" w:eastAsia="Arial" w:hAnsi="Arial"/>
                <w:sz w:val="18"/>
                <w:szCs w:val="18"/>
                <w:color w:val="auto"/>
              </w:rPr>
              <w:t>Less: Net income (loss) attributable to</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11,858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(21,062)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10,838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(10,224)</w:t>
            </w:r>
          </w:p>
        </w:tc>
        <w:tc>
          <w:tcPr>
            <w:tcW w:w="0" w:type="dxa"/>
            <w:vAlign w:val="bottom"/>
          </w:tcPr>
          <w:p>
            <w:pPr>
              <w:spacing w:after="0"/>
              <w:rPr>
                <w:sz w:val="1"/>
                <w:szCs w:val="1"/>
                <w:color w:val="auto"/>
              </w:rPr>
            </w:pPr>
          </w:p>
        </w:tc>
      </w:tr>
      <w:tr>
        <w:trPr>
          <w:trHeight w:val="225"/>
        </w:trPr>
        <w:tc>
          <w:tcPr>
            <w:tcW w:w="3940" w:type="dxa"/>
            <w:vAlign w:val="bottom"/>
          </w:tcPr>
          <w:p>
            <w:pPr>
              <w:ind w:left="260"/>
              <w:spacing w:after="0" w:line="225" w:lineRule="exact"/>
              <w:rPr>
                <w:sz w:val="20"/>
                <w:szCs w:val="20"/>
                <w:color w:val="auto"/>
              </w:rPr>
            </w:pPr>
            <w:r>
              <w:rPr>
                <w:rFonts w:ascii="Arial" w:cs="Arial" w:eastAsia="Arial" w:hAnsi="Arial"/>
                <w:sz w:val="18"/>
                <w:szCs w:val="18"/>
                <w:color w:val="auto"/>
              </w:rPr>
              <w:t xml:space="preserve">noncontrolling interests </w:t>
            </w:r>
            <w:r>
              <w:rPr>
                <w:rFonts w:ascii="Arial" w:cs="Arial" w:eastAsia="Arial" w:hAnsi="Arial"/>
                <w:sz w:val="23"/>
                <w:szCs w:val="23"/>
                <w:color w:val="auto"/>
                <w:vertAlign w:val="superscript"/>
              </w:rPr>
              <w:t>(3)</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94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w w:val="97"/>
              </w:rPr>
              <w:t>Net income (loss) attributable to Viant Technology</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Inc.—basic</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940" w:type="dxa"/>
            <w:vAlign w:val="bottom"/>
          </w:tcPr>
          <w:p>
            <w:pPr>
              <w:ind w:left="180"/>
              <w:spacing w:after="0" w:line="167" w:lineRule="exact"/>
              <w:rPr>
                <w:sz w:val="20"/>
                <w:szCs w:val="20"/>
                <w:color w:val="auto"/>
              </w:rPr>
            </w:pPr>
            <w:r>
              <w:rPr>
                <w:rFonts w:ascii="Arial" w:cs="Arial" w:eastAsia="Arial" w:hAnsi="Arial"/>
                <w:sz w:val="18"/>
                <w:szCs w:val="18"/>
                <w:color w:val="auto"/>
                <w:w w:val="97"/>
              </w:rPr>
              <w:t>Add back: Reallocation of net loss attributable to</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40" w:type="dxa"/>
            <w:vAlign w:val="bottom"/>
          </w:tcPr>
          <w:p>
            <w:pPr>
              <w:ind w:left="260"/>
              <w:spacing w:after="0" w:line="173" w:lineRule="exact"/>
              <w:rPr>
                <w:sz w:val="20"/>
                <w:szCs w:val="20"/>
                <w:color w:val="auto"/>
              </w:rPr>
            </w:pPr>
            <w:r>
              <w:rPr>
                <w:rFonts w:ascii="Arial" w:cs="Arial" w:eastAsia="Arial" w:hAnsi="Arial"/>
                <w:sz w:val="18"/>
                <w:szCs w:val="18"/>
                <w:color w:val="auto"/>
                <w:w w:val="89"/>
              </w:rPr>
              <w:t>noncontrolling interest from the assumed exchange</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940" w:type="dxa"/>
            <w:vAlign w:val="bottom"/>
          </w:tcPr>
          <w:p>
            <w:pPr>
              <w:ind w:left="260"/>
              <w:spacing w:after="0"/>
              <w:rPr>
                <w:sz w:val="20"/>
                <w:szCs w:val="20"/>
                <w:color w:val="auto"/>
              </w:rPr>
            </w:pPr>
            <w:r>
              <w:rPr>
                <w:rFonts w:ascii="Arial" w:cs="Arial" w:eastAsia="Arial" w:hAnsi="Arial"/>
                <w:sz w:val="18"/>
                <w:szCs w:val="18"/>
                <w:color w:val="auto"/>
              </w:rPr>
              <w:t>of RSUs for Class A common stock</w:t>
            </w: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940" w:type="dxa"/>
            <w:vAlign w:val="bottom"/>
            <w:shd w:val="clear" w:color="auto" w:fill="CCEEFF"/>
          </w:tcPr>
          <w:p>
            <w:pPr>
              <w:ind w:left="180"/>
              <w:spacing w:after="0" w:line="188" w:lineRule="exact"/>
              <w:rPr>
                <w:sz w:val="20"/>
                <w:szCs w:val="20"/>
                <w:color w:val="auto"/>
              </w:rPr>
            </w:pPr>
            <w:r>
              <w:rPr>
                <w:rFonts w:ascii="Arial" w:cs="Arial" w:eastAsia="Arial" w:hAnsi="Arial"/>
                <w:sz w:val="18"/>
                <w:szCs w:val="18"/>
                <w:color w:val="auto"/>
                <w:w w:val="98"/>
              </w:rPr>
              <w:t>Income tax benefit (expense) from the assumed</w:t>
            </w:r>
          </w:p>
        </w:tc>
        <w:tc>
          <w:tcPr>
            <w:tcW w:w="1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exchange of RSUs for Class A common stock</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940" w:type="dxa"/>
            <w:vAlign w:val="bottom"/>
          </w:tcPr>
          <w:p>
            <w:pPr>
              <w:ind w:left="20"/>
              <w:spacing w:after="0" w:line="167" w:lineRule="exact"/>
              <w:rPr>
                <w:sz w:val="20"/>
                <w:szCs w:val="20"/>
                <w:color w:val="auto"/>
              </w:rPr>
            </w:pPr>
            <w:r>
              <w:rPr>
                <w:rFonts w:ascii="Arial" w:cs="Arial" w:eastAsia="Arial" w:hAnsi="Arial"/>
                <w:sz w:val="18"/>
                <w:szCs w:val="18"/>
                <w:color w:val="auto"/>
                <w:w w:val="97"/>
              </w:rPr>
              <w:t>Net income (loss) attributable to Viant Technology</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(3,543)</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3,970</w:t>
            </w:r>
          </w:p>
        </w:tc>
        <w:tc>
          <w:tcPr>
            <w:tcW w:w="80" w:type="dxa"/>
            <w:vAlign w:val="bottom"/>
          </w:tcPr>
          <w:p>
            <w:pPr>
              <w:spacing w:after="0"/>
              <w:rPr>
                <w:sz w:val="14"/>
                <w:szCs w:val="14"/>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427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(6,593)</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12"/>
        </w:trPr>
        <w:tc>
          <w:tcPr>
            <w:tcW w:w="3940" w:type="dxa"/>
            <w:vAlign w:val="bottom"/>
          </w:tcPr>
          <w:p>
            <w:pPr>
              <w:ind w:left="20"/>
              <w:spacing w:after="0"/>
              <w:rPr>
                <w:sz w:val="20"/>
                <w:szCs w:val="20"/>
                <w:color w:val="auto"/>
              </w:rPr>
            </w:pPr>
            <w:r>
              <w:rPr>
                <w:rFonts w:ascii="Arial" w:cs="Arial" w:eastAsia="Arial" w:hAnsi="Arial"/>
                <w:sz w:val="18"/>
                <w:szCs w:val="18"/>
                <w:color w:val="auto"/>
              </w:rPr>
              <w:t>Inc.—diluted</w:t>
            </w:r>
          </w:p>
        </w:tc>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94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940" w:type="dxa"/>
            <w:vAlign w:val="bottom"/>
          </w:tcPr>
          <w:p>
            <w:pPr>
              <w:ind w:left="20"/>
              <w:spacing w:after="0" w:line="174" w:lineRule="exact"/>
              <w:rPr>
                <w:sz w:val="20"/>
                <w:szCs w:val="20"/>
                <w:color w:val="auto"/>
              </w:rPr>
            </w:pPr>
            <w:r>
              <w:rPr>
                <w:rFonts w:ascii="Arial" w:cs="Arial" w:eastAsia="Arial" w:hAnsi="Arial"/>
                <w:sz w:val="18"/>
                <w:szCs w:val="18"/>
                <w:color w:val="auto"/>
                <w:w w:val="94"/>
              </w:rPr>
              <w:t>Weighted-average shares of Class A common stock</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14,943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14,943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13,962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13,962</w:t>
            </w:r>
          </w:p>
        </w:tc>
        <w:tc>
          <w:tcPr>
            <w:tcW w:w="0" w:type="dxa"/>
            <w:vAlign w:val="bottom"/>
          </w:tcPr>
          <w:p>
            <w:pPr>
              <w:spacing w:after="0"/>
              <w:rPr>
                <w:sz w:val="1"/>
                <w:szCs w:val="1"/>
                <w:color w:val="auto"/>
              </w:rPr>
            </w:pPr>
          </w:p>
        </w:tc>
      </w:tr>
      <w:tr>
        <w:trPr>
          <w:trHeight w:val="231"/>
        </w:trPr>
        <w:tc>
          <w:tcPr>
            <w:tcW w:w="3940" w:type="dxa"/>
            <w:vAlign w:val="bottom"/>
          </w:tcPr>
          <w:p>
            <w:pPr>
              <w:ind w:left="180"/>
              <w:spacing w:after="0"/>
              <w:rPr>
                <w:sz w:val="20"/>
                <w:szCs w:val="20"/>
                <w:color w:val="auto"/>
              </w:rPr>
            </w:pPr>
            <w:r>
              <w:rPr>
                <w:rFonts w:ascii="Arial" w:cs="Arial" w:eastAsia="Arial" w:hAnsi="Arial"/>
                <w:sz w:val="18"/>
                <w:szCs w:val="18"/>
                <w:color w:val="auto"/>
              </w:rPr>
              <w:t>outstanding —basic</w:t>
            </w: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94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9"/>
              </w:rPr>
              <w:t>Weighted-average shares of Class A common stock</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14,943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15,079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0" w:type="dxa"/>
            <w:vAlign w:val="bottom"/>
          </w:tcPr>
          <w:p>
            <w:pPr>
              <w:spacing w:after="0"/>
              <w:rPr>
                <w:sz w:val="1"/>
                <w:szCs w:val="1"/>
                <w:color w:val="auto"/>
              </w:rPr>
            </w:pPr>
          </w:p>
        </w:tc>
      </w:tr>
      <w:tr>
        <w:trPr>
          <w:trHeight w:val="232"/>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—diluted</w:t>
            </w: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9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1"/>
              </w:rPr>
              <w:t>Earnings (loss) per share of Class A common stock—</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940" w:type="dxa"/>
            <w:vAlign w:val="bottom"/>
          </w:tcPr>
          <w:p>
            <w:pPr>
              <w:ind w:left="20"/>
              <w:spacing w:after="0" w:line="167" w:lineRule="exact"/>
              <w:rPr>
                <w:sz w:val="20"/>
                <w:szCs w:val="20"/>
                <w:color w:val="auto"/>
              </w:rPr>
            </w:pPr>
            <w:r>
              <w:rPr>
                <w:rFonts w:ascii="Arial" w:cs="Arial" w:eastAsia="Arial" w:hAnsi="Arial"/>
                <w:sz w:val="18"/>
                <w:szCs w:val="18"/>
                <w:color w:val="auto"/>
                <w:w w:val="91"/>
              </w:rPr>
              <w:t>Earnings (loss) per share of Class A common stock—</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(0.24)</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4"/>
                <w:szCs w:val="14"/>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(0.47)</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99"/>
        </w:trPr>
        <w:tc>
          <w:tcPr>
            <w:tcW w:w="3940" w:type="dxa"/>
            <w:vAlign w:val="bottom"/>
          </w:tcPr>
          <w:p>
            <w:pPr>
              <w:ind w:left="20"/>
              <w:spacing w:after="0" w:line="199" w:lineRule="exact"/>
              <w:rPr>
                <w:sz w:val="20"/>
                <w:szCs w:val="20"/>
                <w:color w:val="auto"/>
              </w:rPr>
            </w:pPr>
            <w:r>
              <w:rPr>
                <w:rFonts w:ascii="Arial" w:cs="Arial" w:eastAsia="Arial" w:hAnsi="Arial"/>
                <w:sz w:val="18"/>
                <w:szCs w:val="18"/>
                <w:color w:val="auto"/>
              </w:rPr>
              <w:t>diluted</w:t>
            </w: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940" w:type="dxa"/>
            <w:vAlign w:val="bottom"/>
          </w:tcPr>
          <w:p>
            <w:pPr>
              <w:ind w:left="20"/>
              <w:spacing w:after="0" w:line="174" w:lineRule="exact"/>
              <w:rPr>
                <w:sz w:val="20"/>
                <w:szCs w:val="20"/>
                <w:color w:val="auto"/>
              </w:rPr>
            </w:pPr>
            <w:r>
              <w:rPr>
                <w:rFonts w:ascii="Arial" w:cs="Arial" w:eastAsia="Arial" w:hAnsi="Arial"/>
                <w:sz w:val="18"/>
                <w:szCs w:val="18"/>
                <w:color w:val="auto"/>
                <w:w w:val="91"/>
              </w:rPr>
              <w:t>Anti-dilutive shares excluded from earnings (loss) per</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940" w:type="dxa"/>
            <w:vAlign w:val="bottom"/>
          </w:tcPr>
          <w:p>
            <w:pPr>
              <w:ind w:left="180"/>
              <w:spacing w:after="0"/>
              <w:rPr>
                <w:sz w:val="20"/>
                <w:szCs w:val="20"/>
                <w:color w:val="auto"/>
              </w:rPr>
            </w:pPr>
            <w:r>
              <w:rPr>
                <w:rFonts w:ascii="Arial" w:cs="Arial" w:eastAsia="Arial" w:hAnsi="Arial"/>
                <w:sz w:val="18"/>
                <w:szCs w:val="18"/>
                <w:color w:val="auto"/>
              </w:rPr>
              <w:t>share of Class A common stock—diluted:</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26"/>
        </w:trPr>
        <w:tc>
          <w:tcPr>
            <w:tcW w:w="3940" w:type="dxa"/>
            <w:vAlign w:val="bottom"/>
          </w:tcPr>
          <w:p>
            <w:pPr>
              <w:ind w:left="20"/>
              <w:spacing w:after="0"/>
              <w:rPr>
                <w:sz w:val="20"/>
                <w:szCs w:val="20"/>
                <w:color w:val="auto"/>
              </w:rPr>
            </w:pPr>
            <w:r>
              <w:rPr>
                <w:rFonts w:ascii="Arial" w:cs="Arial" w:eastAsia="Arial" w:hAnsi="Arial"/>
                <w:sz w:val="18"/>
                <w:szCs w:val="18"/>
                <w:color w:val="auto"/>
              </w:rPr>
              <w:t>Nonqualified stock options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4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Class B common stock</w:t>
            </w: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47,082</w:t>
            </w:r>
          </w:p>
        </w:tc>
        <w:tc>
          <w:tcPr>
            <w:tcW w:w="0" w:type="dxa"/>
            <w:vAlign w:val="bottom"/>
          </w:tcPr>
          <w:p>
            <w:pPr>
              <w:spacing w:after="0"/>
              <w:rPr>
                <w:sz w:val="1"/>
                <w:szCs w:val="1"/>
                <w:color w:val="auto"/>
              </w:rPr>
            </w:pPr>
          </w:p>
        </w:tc>
      </w:tr>
      <w:tr>
        <w:trPr>
          <w:trHeight w:val="167"/>
        </w:trPr>
        <w:tc>
          <w:tcPr>
            <w:tcW w:w="3940" w:type="dxa"/>
            <w:vAlign w:val="bottom"/>
          </w:tcPr>
          <w:p>
            <w:pPr>
              <w:ind w:left="20"/>
              <w:spacing w:after="0" w:line="167" w:lineRule="exact"/>
              <w:rPr>
                <w:sz w:val="20"/>
                <w:szCs w:val="20"/>
                <w:color w:val="auto"/>
              </w:rPr>
            </w:pPr>
            <w:r>
              <w:rPr>
                <w:rFonts w:ascii="Arial" w:cs="Arial" w:eastAsia="Arial" w:hAnsi="Arial"/>
                <w:sz w:val="18"/>
                <w:szCs w:val="18"/>
                <w:color w:val="auto"/>
                <w:w w:val="92"/>
              </w:rPr>
              <w:t>Total shares excluded from earnings (loss) per share</w:t>
            </w: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57,085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52,845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55,761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55,761</w:t>
            </w:r>
          </w:p>
        </w:tc>
        <w:tc>
          <w:tcPr>
            <w:tcW w:w="0" w:type="dxa"/>
            <w:vAlign w:val="bottom"/>
          </w:tcPr>
          <w:p>
            <w:pPr>
              <w:spacing w:after="0"/>
              <w:rPr>
                <w:sz w:val="1"/>
                <w:szCs w:val="1"/>
                <w:color w:val="auto"/>
              </w:rPr>
            </w:pPr>
          </w:p>
        </w:tc>
      </w:tr>
      <w:tr>
        <w:trPr>
          <w:trHeight w:val="199"/>
        </w:trPr>
        <w:tc>
          <w:tcPr>
            <w:tcW w:w="3940" w:type="dxa"/>
            <w:vAlign w:val="bottom"/>
          </w:tcPr>
          <w:p>
            <w:pPr>
              <w:ind w:left="180"/>
              <w:spacing w:after="0" w:line="199" w:lineRule="exact"/>
              <w:rPr>
                <w:sz w:val="20"/>
                <w:szCs w:val="20"/>
                <w:color w:val="auto"/>
              </w:rPr>
            </w:pPr>
            <w:r>
              <w:rPr>
                <w:rFonts w:ascii="Arial" w:cs="Arial" w:eastAsia="Arial" w:hAnsi="Arial"/>
                <w:sz w:val="18"/>
                <w:szCs w:val="18"/>
                <w:color w:val="auto"/>
              </w:rPr>
              <w:t>of Class A common stock—diluted</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600" w:hanging="315"/>
        <w:spacing w:after="0"/>
        <w:tabs>
          <w:tab w:leader="none" w:pos="6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Restructuring includes adjustments to severance charges initially recognized during the prior year.</w:t>
      </w:r>
    </w:p>
    <w:p>
      <w:pPr>
        <w:spacing w:after="0" w:line="112" w:lineRule="exact"/>
        <w:rPr>
          <w:rFonts w:ascii="Arial" w:cs="Arial" w:eastAsia="Arial" w:hAnsi="Arial"/>
          <w:sz w:val="18"/>
          <w:szCs w:val="18"/>
          <w:color w:val="231F20"/>
        </w:rPr>
      </w:pPr>
    </w:p>
    <w:p>
      <w:pPr>
        <w:jc w:val="both"/>
        <w:ind w:left="600" w:hanging="315"/>
        <w:spacing w:after="0" w:line="256" w:lineRule="auto"/>
        <w:tabs>
          <w:tab w:leader="none" w:pos="6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The estimated income tax effect of our share of non-GAAP reconciling items for the six months ended June 30, 2023 and 2022 are calculated using assumed blended tax rates of 20% and 25%, respectively, which represent our expected corporate tax rates, excluding discrete and non-recurring tax items.</w:t>
      </w:r>
    </w:p>
    <w:p>
      <w:pPr>
        <w:spacing w:after="0" w:line="83" w:lineRule="exact"/>
        <w:rPr>
          <w:rFonts w:ascii="Arial" w:cs="Arial" w:eastAsia="Arial" w:hAnsi="Arial"/>
          <w:sz w:val="18"/>
          <w:szCs w:val="18"/>
          <w:color w:val="231F20"/>
        </w:rPr>
      </w:pPr>
    </w:p>
    <w:p>
      <w:pPr>
        <w:ind w:left="600" w:right="220" w:hanging="315"/>
        <w:spacing w:after="0" w:line="266" w:lineRule="auto"/>
        <w:tabs>
          <w:tab w:leader="none" w:pos="6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The adjustment to net income (loss) attributable to noncontrolling interests represents stock-based compensation and restructuring charges attributed to the noncontrolling interests outstanding during the period.</w:t>
      </w:r>
    </w:p>
    <w:p>
      <w:pPr>
        <w:spacing w:after="0" w:line="39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66675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40"/>
          </w:cols>
          <w:pgMar w:left="680" w:top="121" w:right="579" w:bottom="1440" w:gutter="0" w:footer="0" w:header="0"/>
        </w:sectPr>
      </w:pPr>
    </w:p>
    <w:bookmarkStart w:id="37" w:name="page38"/>
    <w:bookmarkEnd w:id="37"/>
    <w:p>
      <w:pPr>
        <w:jc w:val="center"/>
        <w:ind w:left="4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118" w:lineRule="exact"/>
        <w:rPr>
          <w:sz w:val="20"/>
          <w:szCs w:val="20"/>
          <w:color w:val="auto"/>
        </w:rPr>
      </w:pPr>
    </w:p>
    <w:p>
      <w:pPr>
        <w:ind w:right="260" w:firstLine="479"/>
        <w:spacing w:after="0" w:line="330" w:lineRule="auto"/>
        <w:rPr>
          <w:sz w:val="20"/>
          <w:szCs w:val="20"/>
          <w:color w:val="auto"/>
        </w:rPr>
      </w:pPr>
      <w:r>
        <w:rPr>
          <w:rFonts w:ascii="Arial" w:cs="Arial" w:eastAsia="Arial" w:hAnsi="Arial"/>
          <w:sz w:val="16"/>
          <w:szCs w:val="16"/>
          <w:color w:val="auto"/>
        </w:rPr>
        <w:t>As of June 30, 2023, we had cash and cash equivalents of $203.9 million and working capital, consisting of current assets less current liabilities, of $224.0 million, compared to cash and cash equivalents of $206.6 million and working capital of $227.7 million as of December 31, 2022.</w:t>
      </w:r>
    </w:p>
    <w:p>
      <w:pPr>
        <w:spacing w:after="0" w:line="27" w:lineRule="exact"/>
        <w:rPr>
          <w:sz w:val="20"/>
          <w:szCs w:val="20"/>
          <w:color w:val="auto"/>
        </w:rPr>
      </w:pPr>
    </w:p>
    <w:p>
      <w:pPr>
        <w:ind w:right="20" w:firstLine="479"/>
        <w:spacing w:after="0" w:line="253" w:lineRule="auto"/>
        <w:rPr>
          <w:sz w:val="20"/>
          <w:szCs w:val="20"/>
          <w:color w:val="auto"/>
        </w:rPr>
      </w:pPr>
      <w:r>
        <w:rPr>
          <w:rFonts w:ascii="Arial" w:cs="Arial" w:eastAsia="Arial" w:hAnsi="Arial"/>
          <w:sz w:val="18"/>
          <w:szCs w:val="18"/>
          <w:color w:val="auto"/>
        </w:rPr>
        <w:t>Our primary sources of cash are revenues derived from the programmatic purchase of advertising on our platform and our existing cash and cash equivalents, although we have, and may in the future, address our liquidity needs by utilizing our borrowing capacity under our asset-based revolving credit and security agreement (the “Amended Loan Agreement”) we have with PNC Bank (which was amended in April 2023), obtaining debt financing from other sources, or raising additional funds by issuing equity.</w:t>
      </w:r>
    </w:p>
    <w:p>
      <w:pPr>
        <w:spacing w:after="0" w:line="86" w:lineRule="exact"/>
        <w:rPr>
          <w:sz w:val="20"/>
          <w:szCs w:val="20"/>
          <w:color w:val="auto"/>
        </w:rPr>
      </w:pPr>
    </w:p>
    <w:p>
      <w:pPr>
        <w:ind w:right="400" w:firstLine="479"/>
        <w:spacing w:after="0" w:line="295" w:lineRule="auto"/>
        <w:rPr>
          <w:sz w:val="20"/>
          <w:szCs w:val="20"/>
          <w:color w:val="auto"/>
        </w:rPr>
      </w:pPr>
      <w:r>
        <w:rPr>
          <w:rFonts w:ascii="Arial" w:cs="Arial" w:eastAsia="Arial" w:hAnsi="Arial"/>
          <w:sz w:val="16"/>
          <w:szCs w:val="16"/>
          <w:color w:val="auto"/>
        </w:rPr>
        <w:t>Our primary uses of cash are capital expenditures to develop our technology in support of enhancing our platform; purchases of property and equipment in support of our expanding headcount as a result of our growth; the payment of debt obligations used to finance our operations, capital expenditures, platform development and rapid growth; and future minimum payments under our non-cancelable operating leases. We intend to continue investing in critical areas of our business in 2023 to further accelerate demand for our product and growth across the platform.</w:t>
      </w:r>
    </w:p>
    <w:p>
      <w:pPr>
        <w:spacing w:after="0" w:line="54" w:lineRule="exact"/>
        <w:rPr>
          <w:sz w:val="20"/>
          <w:szCs w:val="20"/>
          <w:color w:val="auto"/>
        </w:rPr>
      </w:pPr>
    </w:p>
    <w:p>
      <w:pPr>
        <w:jc w:val="both"/>
        <w:ind w:firstLine="479"/>
        <w:spacing w:after="0" w:line="251" w:lineRule="auto"/>
        <w:rPr>
          <w:sz w:val="20"/>
          <w:szCs w:val="20"/>
          <w:color w:val="auto"/>
        </w:rPr>
      </w:pPr>
      <w:r>
        <w:rPr>
          <w:rFonts w:ascii="Arial" w:cs="Arial" w:eastAsia="Arial" w:hAnsi="Arial"/>
          <w:sz w:val="18"/>
          <w:szCs w:val="18"/>
          <w:color w:val="auto"/>
        </w:rPr>
        <w:t>As of June 30, 2023, our material cash requirements from non-cancelable contractual obligations with an original duration of over one year included future minimum payments under our non-cancelable operating leases, which we estimate will be approximately $2.5 million for the remainder of 2023, $4.4 million in 2024, $4.3 million in 2025, $4.3 million in 2026, and $4.2 million in 2027, and non-cancelable contractual agreements related to the hosting of our data storage processing, storage, and other computing services, which we estimate will be approximately $6.0 million for the remainder of 2023, $6.4 million in 2024, $5.1 million in 2025, and $0.8 million in 2026.</w:t>
      </w:r>
    </w:p>
    <w:p>
      <w:pPr>
        <w:spacing w:after="0" w:line="89" w:lineRule="exact"/>
        <w:rPr>
          <w:sz w:val="20"/>
          <w:szCs w:val="20"/>
          <w:color w:val="auto"/>
        </w:rPr>
      </w:pPr>
    </w:p>
    <w:p>
      <w:pPr>
        <w:ind w:right="300" w:firstLine="479"/>
        <w:spacing w:after="0" w:line="288" w:lineRule="auto"/>
        <w:rPr>
          <w:sz w:val="20"/>
          <w:szCs w:val="20"/>
          <w:color w:val="auto"/>
        </w:rPr>
      </w:pPr>
      <w:r>
        <w:rPr>
          <w:rFonts w:ascii="Arial" w:cs="Arial" w:eastAsia="Arial" w:hAnsi="Arial"/>
          <w:sz w:val="16"/>
          <w:szCs w:val="16"/>
          <w:color w:val="auto"/>
        </w:rPr>
        <w:t>On February 9, 2021, in connection with our IPO, we entered into a tax receivable agreement (the “Tax Receivable Agreement”) with Viant Technology LLC, continuing members of Viant Technology LLC (our “pre-IPO owners”) and the TRA Representative (as defined in the Tax Receivable Agreement), as described under Note 10 to our unaudited condensed consolidated financial statements included elsewhere in this Quarterly Report. As of June 30, 2023, we concluded that it was more likely than not that our deferred tax assets subject to the Tax Receivable Agreement would not be realized. Therefore, we currently do not expect to make payments under our Tax Receivable Agreement based on our estimates of future taxable income. As of June 30, 2023, the total unrecorded liability for our Tax Receivable Agreement is approximately $10.3 million.</w:t>
      </w:r>
    </w:p>
    <w:p>
      <w:pPr>
        <w:spacing w:after="0" w:line="60" w:lineRule="exact"/>
        <w:rPr>
          <w:sz w:val="20"/>
          <w:szCs w:val="20"/>
          <w:color w:val="auto"/>
        </w:rPr>
      </w:pPr>
    </w:p>
    <w:p>
      <w:pPr>
        <w:ind w:right="60" w:firstLine="479"/>
        <w:spacing w:after="0" w:line="256" w:lineRule="auto"/>
        <w:rPr>
          <w:sz w:val="20"/>
          <w:szCs w:val="20"/>
          <w:color w:val="auto"/>
        </w:rPr>
      </w:pPr>
      <w:r>
        <w:rPr>
          <w:rFonts w:ascii="Arial" w:cs="Arial" w:eastAsia="Arial" w:hAnsi="Arial"/>
          <w:sz w:val="18"/>
          <w:szCs w:val="18"/>
          <w:color w:val="auto"/>
        </w:rPr>
        <w:t>From time to time, our subsidiary, Viant Technology LLC, makes cash distributions on a pro rata basis to its members to the extent necessary to cover the members’ tax liabilities with respect to their share of earnings of Viant Technology LLC. These payments are reflected within "Payment of member tax distributions" on the condensed consolidated statements of cash flows.</w:t>
      </w:r>
    </w:p>
    <w:p>
      <w:pPr>
        <w:spacing w:after="0" w:line="83" w:lineRule="exact"/>
        <w:rPr>
          <w:sz w:val="20"/>
          <w:szCs w:val="20"/>
          <w:color w:val="auto"/>
        </w:rPr>
      </w:pPr>
    </w:p>
    <w:p>
      <w:pPr>
        <w:ind w:right="20" w:firstLine="479"/>
        <w:spacing w:after="0" w:line="285" w:lineRule="auto"/>
        <w:rPr>
          <w:sz w:val="20"/>
          <w:szCs w:val="20"/>
          <w:color w:val="auto"/>
        </w:rPr>
      </w:pPr>
      <w:r>
        <w:rPr>
          <w:rFonts w:ascii="Arial" w:cs="Arial" w:eastAsia="Arial" w:hAnsi="Arial"/>
          <w:sz w:val="16"/>
          <w:szCs w:val="16"/>
          <w:color w:val="auto"/>
        </w:rPr>
        <w:t>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 from revenues derived from the programmatic purchase of advertising on our platform, and the undrawn availability under our revolving credit facility from the Amended Loan Agreement with PNC Bank will be sufficient to meet our cash requirements over the next 12 months. We believe we will meet longer-term expected future cash requirements and obligations beyond the next 12 months through a combination of existing cash and cash equivalents, cash flow from operations, the undrawn availability under our credit facility and issuances of equity securities or debt offerings. Our ability to fund longer-term operating needs will depend on our ability to generate positive cash flows through programmatic advertising purchases on our platform, our ability to access the capital markets, and other factors, including those discussed under the section titled “Risk Factors” in this Quarterly Report.</w:t>
      </w:r>
    </w:p>
    <w:p>
      <w:pPr>
        <w:spacing w:after="0" w:line="63" w:lineRule="exact"/>
        <w:rPr>
          <w:sz w:val="20"/>
          <w:szCs w:val="20"/>
          <w:color w:val="auto"/>
        </w:rPr>
      </w:pPr>
    </w:p>
    <w:p>
      <w:pPr>
        <w:ind w:right="180" w:firstLine="479"/>
        <w:spacing w:after="0" w:line="256" w:lineRule="auto"/>
        <w:rPr>
          <w:sz w:val="20"/>
          <w:szCs w:val="20"/>
          <w:color w:val="auto"/>
        </w:rPr>
      </w:pPr>
      <w:r>
        <w:rPr>
          <w:rFonts w:ascii="Arial" w:cs="Arial" w:eastAsia="Arial" w:hAnsi="Arial"/>
          <w:sz w:val="18"/>
          <w:szCs w:val="18"/>
          <w:color w:val="auto"/>
        </w:rPr>
        <w:t>We did not have any other off-balance sheet arrangements as of June 30, 2023 other than the minimum payments under the operating leases, hosting arrangements, and the indemnification agreements described in Note 13—Commitments and Contingencies to our unaudited condensed consolidated financial statements included elsewhere in this Quarterly Report.</w:t>
      </w:r>
    </w:p>
    <w:p>
      <w:pPr>
        <w:spacing w:after="0" w:line="83" w:lineRule="exact"/>
        <w:rPr>
          <w:sz w:val="20"/>
          <w:szCs w:val="20"/>
          <w:color w:val="auto"/>
        </w:rPr>
      </w:pPr>
    </w:p>
    <w:p>
      <w:pPr>
        <w:jc w:val="both"/>
        <w:ind w:right="80" w:firstLine="479"/>
        <w:spacing w:after="0" w:line="256" w:lineRule="auto"/>
        <w:rPr>
          <w:sz w:val="20"/>
          <w:szCs w:val="20"/>
          <w:color w:val="auto"/>
        </w:rPr>
      </w:pPr>
      <w:r>
        <w:rPr>
          <w:rFonts w:ascii="Arial" w:cs="Arial" w:eastAsia="Arial" w:hAnsi="Arial"/>
          <w:sz w:val="18"/>
          <w:szCs w:val="18"/>
          <w:color w:val="auto"/>
        </w:rPr>
        <w:t>We are a holding company with no operations of our own and are dependent on distributions from Viant Technology LLC to pay our taxes and satisfy any current or future cash requirements. Our Amended Loan Agreement with PNC Bank imposes, and any future credit facilities may impose, limitations on our ability and the ability of Viant Technology LLC to pay dividends to third parties.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Revolving Credit Facility</w:t>
      </w:r>
    </w:p>
    <w:p>
      <w:pPr>
        <w:spacing w:after="0" w:line="112" w:lineRule="exact"/>
        <w:rPr>
          <w:sz w:val="20"/>
          <w:szCs w:val="20"/>
          <w:color w:val="auto"/>
        </w:rPr>
      </w:pPr>
    </w:p>
    <w:p>
      <w:pPr>
        <w:ind w:firstLine="479"/>
        <w:spacing w:after="0" w:line="253" w:lineRule="auto"/>
        <w:rPr>
          <w:sz w:val="20"/>
          <w:szCs w:val="20"/>
          <w:color w:val="auto"/>
        </w:rPr>
      </w:pPr>
      <w:r>
        <w:rPr>
          <w:rFonts w:ascii="Arial" w:cs="Arial" w:eastAsia="Arial" w:hAnsi="Arial"/>
          <w:sz w:val="18"/>
          <w:szCs w:val="18"/>
          <w:color w:val="auto"/>
        </w:rPr>
        <w:t>As of June 30, 2023, our Amended Loan Agreement with PNC Bank provided us with access to a $75.0 million senior secured revolving credit facility with a maturity date of April 4, 2028 that is collateralized by security interests in substantially all of our assets. As of June 30, 2023, there was no outstanding balance and up to $74.1 million of undrawn availability under the Amended Loan Agreement. As of December 31, 2022, there was no outstanding balance and up to $39.6 million of undrawn availability under the Loan Agreement.</w:t>
      </w:r>
    </w:p>
    <w:p>
      <w:pPr>
        <w:spacing w:after="0" w:line="200" w:lineRule="exact"/>
        <w:rPr>
          <w:sz w:val="20"/>
          <w:szCs w:val="20"/>
          <w:color w:val="auto"/>
        </w:rPr>
      </w:pPr>
    </w:p>
    <w:p>
      <w:pPr>
        <w:spacing w:after="0" w:line="20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jc w:val="center"/>
        <w:ind w:left="4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341" w:lineRule="exact"/>
        <w:rPr>
          <w:sz w:val="20"/>
          <w:szCs w:val="20"/>
          <w:color w:val="auto"/>
        </w:rPr>
      </w:pPr>
    </w:p>
    <w:p>
      <w:pPr>
        <w:ind w:firstLine="479"/>
        <w:spacing w:after="0" w:line="295" w:lineRule="auto"/>
        <w:rPr>
          <w:sz w:val="20"/>
          <w:szCs w:val="20"/>
          <w:color w:val="auto"/>
        </w:rPr>
      </w:pPr>
      <w:r>
        <w:rPr>
          <w:rFonts w:ascii="Arial" w:cs="Arial" w:eastAsia="Arial" w:hAnsi="Arial"/>
          <w:sz w:val="16"/>
          <w:szCs w:val="16"/>
          <w:color w:val="auto"/>
        </w:rPr>
        <w:t>The Amended Loan Agreement contains customary conditions to borrowings, events of default and covenants, and also contains a financial covenant requiring us to maintain a minimum fixed charge coverage ratio of 1.40 to 1 when undrawn availability under the Amended Loan Agreement is less than 25%. As of June 30, 2023, we were in compliance with this covenant, and we do not believe this covenant or any other provision in the Amended Loan Agreement will materially impact our liquidity or otherwise restrict our ability to execute on our business plan during or beyond the next 12 months.</w:t>
      </w:r>
    </w:p>
    <w:p>
      <w:pPr>
        <w:spacing w:after="0" w:line="54" w:lineRule="exact"/>
        <w:rPr>
          <w:sz w:val="20"/>
          <w:szCs w:val="20"/>
          <w:color w:val="auto"/>
        </w:rPr>
      </w:pPr>
    </w:p>
    <w:p>
      <w:pPr>
        <w:ind w:right="480" w:firstLine="479"/>
        <w:spacing w:after="0" w:line="266" w:lineRule="auto"/>
        <w:rPr>
          <w:sz w:val="20"/>
          <w:szCs w:val="20"/>
          <w:color w:val="auto"/>
        </w:rPr>
      </w:pPr>
      <w:r>
        <w:rPr>
          <w:rFonts w:ascii="Arial" w:cs="Arial" w:eastAsia="Arial" w:hAnsi="Arial"/>
          <w:sz w:val="18"/>
          <w:szCs w:val="18"/>
          <w:color w:val="auto"/>
        </w:rPr>
        <w:t>For further discussion of our Amended Loan Agreement with PNC Bank, refer to Note 8—Revolving Credit Facility to our unaudited condensed consolidated financial statements included elsewhere in this Quarterly Report</w:t>
      </w:r>
      <w:r>
        <w:rPr>
          <w:rFonts w:ascii="Arial" w:cs="Arial" w:eastAsia="Arial" w:hAnsi="Arial"/>
          <w:sz w:val="18"/>
          <w:szCs w:val="18"/>
          <w:color w:val="231F20"/>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Cash Flows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cash flows for the six months ended June 30, 2023 and 2022:</w:t>
      </w:r>
    </w:p>
    <w:p>
      <w:pPr>
        <w:spacing w:after="0" w:line="132"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Six Months Ended</w:t>
      </w:r>
    </w:p>
    <w:p>
      <w:pPr>
        <w:jc w:val="center"/>
        <w:ind w:left="7920"/>
        <w:spacing w:after="0"/>
        <w:rPr>
          <w:sz w:val="20"/>
          <w:szCs w:val="20"/>
          <w:color w:val="auto"/>
        </w:rPr>
      </w:pPr>
      <w:r>
        <w:rPr>
          <w:rFonts w:ascii="Arial" w:cs="Arial" w:eastAsia="Arial" w:hAnsi="Arial"/>
          <w:sz w:val="18"/>
          <w:szCs w:val="18"/>
          <w:b w:val="1"/>
          <w:bCs w:val="1"/>
          <w:color w:val="auto"/>
        </w:rPr>
        <w:t>June 30,</w:t>
      </w:r>
    </w:p>
    <w:p>
      <w:pPr>
        <w:spacing w:after="0" w:line="3"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Cash Flows Data</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7460" w:type="dxa"/>
            <w:vAlign w:val="bottom"/>
          </w:tcPr>
          <w:p>
            <w:pPr>
              <w:ind w:left="20"/>
              <w:spacing w:after="0"/>
              <w:rPr>
                <w:sz w:val="20"/>
                <w:szCs w:val="20"/>
                <w:color w:val="auto"/>
              </w:rPr>
            </w:pPr>
            <w:r>
              <w:rPr>
                <w:rFonts w:ascii="Arial" w:cs="Arial" w:eastAsia="Arial" w:hAnsi="Arial"/>
                <w:sz w:val="18"/>
                <w:szCs w:val="18"/>
                <w:color w:val="auto"/>
              </w:rPr>
              <w:t>Cash flows provided by (used in) operating activities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500"/>
              <w:spacing w:after="0"/>
              <w:rPr>
                <w:sz w:val="20"/>
                <w:szCs w:val="20"/>
                <w:color w:val="auto"/>
              </w:rPr>
            </w:pPr>
            <w:r>
              <w:rPr>
                <w:rFonts w:ascii="Arial" w:cs="Arial" w:eastAsia="Arial" w:hAnsi="Arial"/>
                <w:sz w:val="18"/>
                <w:szCs w:val="18"/>
                <w:color w:val="auto"/>
              </w:rPr>
              <w:t>10,855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(8,519)</w:t>
            </w:r>
          </w:p>
        </w:tc>
      </w:tr>
      <w:tr>
        <w:trPr>
          <w:trHeight w:val="227"/>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(6,462)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r>
      <w:tr>
        <w:trPr>
          <w:trHeight w:val="23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4"/>
              </w:rPr>
              <w:t>(7,065)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(18,375)</w:t>
            </w:r>
          </w:p>
        </w:tc>
      </w:tr>
      <w:tr>
        <w:trPr>
          <w:trHeight w:val="24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(2,672)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Cash Flows Provided by (Used in) Operating Activities</w:t>
      </w:r>
    </w:p>
    <w:p>
      <w:pPr>
        <w:spacing w:after="0" w:line="112" w:lineRule="exact"/>
        <w:rPr>
          <w:sz w:val="20"/>
          <w:szCs w:val="20"/>
          <w:color w:val="auto"/>
        </w:rPr>
      </w:pPr>
    </w:p>
    <w:p>
      <w:pPr>
        <w:ind w:right="300" w:firstLine="479"/>
        <w:spacing w:after="0" w:line="250" w:lineRule="auto"/>
        <w:rPr>
          <w:sz w:val="20"/>
          <w:szCs w:val="20"/>
          <w:color w:val="auto"/>
        </w:rPr>
      </w:pPr>
      <w:r>
        <w:rPr>
          <w:rFonts w:ascii="Arial" w:cs="Arial" w:eastAsia="Arial" w:hAnsi="Arial"/>
          <w:sz w:val="18"/>
          <w:szCs w:val="18"/>
          <w:color w:val="auto"/>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91" w:lineRule="exact"/>
        <w:rPr>
          <w:sz w:val="20"/>
          <w:szCs w:val="20"/>
          <w:color w:val="auto"/>
        </w:rPr>
      </w:pPr>
    </w:p>
    <w:p>
      <w:pPr>
        <w:jc w:val="both"/>
        <w:ind w:right="240" w:firstLine="479"/>
        <w:spacing w:after="0" w:line="256" w:lineRule="auto"/>
        <w:rPr>
          <w:sz w:val="20"/>
          <w:szCs w:val="20"/>
          <w:color w:val="auto"/>
        </w:rPr>
      </w:pPr>
      <w:r>
        <w:rPr>
          <w:rFonts w:ascii="Arial" w:cs="Arial" w:eastAsia="Arial" w:hAnsi="Arial"/>
          <w:sz w:val="18"/>
          <w:szCs w:val="18"/>
          <w:color w:val="auto"/>
        </w:rPr>
        <w:t>Our cash flows provided by operating activities for the six months ended June 30, 2023 was $10.9 million, a net increase of $19.4 million, or 227%, from cash flows used in operating activities for the six months ended June 30, 2022 of $8.5 million. Cash flows provided by operating activities for the six months ended June 30, 2023 resulted primarily from:</w:t>
      </w:r>
    </w:p>
    <w:p>
      <w:pPr>
        <w:spacing w:after="0" w:line="83" w:lineRule="exact"/>
        <w:rPr>
          <w:sz w:val="20"/>
          <w:szCs w:val="20"/>
          <w:color w:val="auto"/>
        </w:rPr>
      </w:pPr>
    </w:p>
    <w:p>
      <w:pPr>
        <w:ind w:left="1280" w:hanging="635"/>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a decrease of $12.6 million from net loss;</w:t>
      </w:r>
    </w:p>
    <w:p>
      <w:pPr>
        <w:spacing w:after="0" w:line="112" w:lineRule="exact"/>
        <w:rPr>
          <w:rFonts w:ascii="Arial" w:cs="Arial" w:eastAsia="Arial" w:hAnsi="Arial"/>
          <w:sz w:val="18"/>
          <w:szCs w:val="18"/>
          <w:color w:val="auto"/>
        </w:rPr>
      </w:pPr>
    </w:p>
    <w:p>
      <w:pPr>
        <w:ind w:left="1280" w:right="660" w:hanging="635"/>
        <w:spacing w:after="0" w:line="330" w:lineRule="auto"/>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231F20"/>
        </w:rPr>
        <w:t>an increase of $25.0 million due to non-cash add back adjustments to net loss primarily comprised of $16.0 million for stock-based compensation, $7.0 million for depreciation and amortization, and $1.9 million of amortization of operating lease assets;</w:t>
      </w:r>
    </w:p>
    <w:p>
      <w:pPr>
        <w:spacing w:after="0" w:line="26" w:lineRule="exact"/>
        <w:rPr>
          <w:rFonts w:ascii="Arial" w:cs="Arial" w:eastAsia="Arial" w:hAnsi="Arial"/>
          <w:sz w:val="16"/>
          <w:szCs w:val="16"/>
          <w:color w:val="auto"/>
        </w:rPr>
      </w:pPr>
    </w:p>
    <w:p>
      <w:pPr>
        <w:ind w:left="1280" w:right="160" w:hanging="635"/>
        <w:spacing w:after="0" w:line="253" w:lineRule="auto"/>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an increase of $0.3 million from changes in working capital (excluding deferred revenue, other liabilities, and operating lease liabilities), including a net increase of $14.2 million in accounts receivable, prepaid assets and other assets primarily related to lower sales and timing of customer collections due to seasonal fluctuations, partially offset by a decrease of $13.9 million in accounts payable, accrued liabilities and accrued compensation primarily related to timing of payments;</w:t>
      </w:r>
    </w:p>
    <w:p>
      <w:pPr>
        <w:spacing w:after="0" w:line="85" w:lineRule="exact"/>
        <w:rPr>
          <w:rFonts w:ascii="Arial" w:cs="Arial" w:eastAsia="Arial" w:hAnsi="Arial"/>
          <w:sz w:val="18"/>
          <w:szCs w:val="18"/>
          <w:color w:val="auto"/>
        </w:rPr>
      </w:pPr>
    </w:p>
    <w:p>
      <w:pPr>
        <w:ind w:left="1280" w:hanging="635"/>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an increase in deferred revenue of $0.1 million;</w:t>
      </w:r>
    </w:p>
    <w:p>
      <w:pPr>
        <w:spacing w:after="0" w:line="112" w:lineRule="exact"/>
        <w:rPr>
          <w:rFonts w:ascii="Arial" w:cs="Arial" w:eastAsia="Arial" w:hAnsi="Arial"/>
          <w:sz w:val="18"/>
          <w:szCs w:val="18"/>
          <w:color w:val="auto"/>
        </w:rPr>
      </w:pPr>
    </w:p>
    <w:p>
      <w:pPr>
        <w:ind w:left="1280" w:hanging="635"/>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 decrease in operating lease liabilities of </w:t>
      </w:r>
      <w:r>
        <w:rPr>
          <w:rFonts w:ascii="Arial" w:cs="Arial" w:eastAsia="Arial" w:hAnsi="Arial"/>
          <w:sz w:val="18"/>
          <w:szCs w:val="18"/>
          <w:color w:val="231F20"/>
        </w:rPr>
        <w:t>$1.7</w:t>
      </w:r>
      <w:r>
        <w:rPr>
          <w:rFonts w:ascii="Arial" w:cs="Arial" w:eastAsia="Arial" w:hAnsi="Arial"/>
          <w:sz w:val="18"/>
          <w:szCs w:val="18"/>
          <w:color w:val="auto"/>
        </w:rPr>
        <w:t xml:space="preserve"> million; and</w:t>
      </w:r>
    </w:p>
    <w:p>
      <w:pPr>
        <w:spacing w:after="0" w:line="112" w:lineRule="exact"/>
        <w:rPr>
          <w:rFonts w:ascii="Arial" w:cs="Arial" w:eastAsia="Arial" w:hAnsi="Arial"/>
          <w:sz w:val="18"/>
          <w:szCs w:val="18"/>
          <w:color w:val="auto"/>
        </w:rPr>
      </w:pPr>
    </w:p>
    <w:p>
      <w:pPr>
        <w:ind w:left="1280" w:hanging="635"/>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decrease in other liabilities of $0.3 million.</w:t>
      </w:r>
    </w:p>
    <w:p>
      <w:pPr>
        <w:spacing w:after="0" w:line="112" w:lineRule="exact"/>
        <w:rPr>
          <w:sz w:val="20"/>
          <w:szCs w:val="20"/>
          <w:color w:val="auto"/>
        </w:rPr>
      </w:pPr>
    </w:p>
    <w:p>
      <w:pPr>
        <w:ind w:firstLine="479"/>
        <w:spacing w:after="0" w:line="251" w:lineRule="auto"/>
        <w:rPr>
          <w:sz w:val="20"/>
          <w:szCs w:val="20"/>
          <w:color w:val="auto"/>
        </w:rPr>
      </w:pPr>
      <w:r>
        <w:rPr>
          <w:rFonts w:ascii="Arial" w:cs="Arial" w:eastAsia="Arial" w:hAnsi="Arial"/>
          <w:sz w:val="18"/>
          <w:szCs w:val="18"/>
          <w:color w:val="auto"/>
        </w:rPr>
        <w:t>During the six months ended June 30, 2022, cash used in operating activities of $8.5 million resulted primarily from a net loss of $27.7 million offset by non-cash add back adjustments to net loss of $14.1 million for stock-based compensation, $6.4 million for depreciation and amortization, $1.3 million of amortization of operating lease assets, and an increase in net working capital (excluding deferred revenue, operating lease liabilities, and other liabilities) of $5.5 million, offset by a decrease in deferred revenue of $6.5 million, a decrease in other liabilities of $1.1 million, and a decrease in operating lease liabilities of $1.0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Cash Flows Used in Investing Activities</w:t>
      </w:r>
    </w:p>
    <w:p>
      <w:pPr>
        <w:spacing w:after="0" w:line="112" w:lineRule="exact"/>
        <w:rPr>
          <w:sz w:val="20"/>
          <w:szCs w:val="20"/>
          <w:color w:val="auto"/>
        </w:rPr>
      </w:pPr>
    </w:p>
    <w:p>
      <w:pPr>
        <w:ind w:right="140" w:firstLine="479"/>
        <w:spacing w:after="0" w:line="266" w:lineRule="auto"/>
        <w:rPr>
          <w:sz w:val="20"/>
          <w:szCs w:val="20"/>
          <w:color w:val="auto"/>
        </w:rPr>
      </w:pPr>
      <w:r>
        <w:rPr>
          <w:rFonts w:ascii="Arial" w:cs="Arial" w:eastAsia="Arial" w:hAnsi="Arial"/>
          <w:sz w:val="18"/>
          <w:szCs w:val="18"/>
          <w:color w:val="auto"/>
        </w:rPr>
        <w:t>Our primary investing activities have consisted of capital expenditures to develop our technology in support of enhancing our platform and purchases of property and equipment in support of our growth. We capitalize certain costs associated with creating and</w:t>
      </w:r>
    </w:p>
    <w:p>
      <w:pPr>
        <w:spacing w:after="0" w:line="39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ind w:left="46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(unaudited; tabular dollars in thousands, except per share data)</w:t>
      </w:r>
    </w:p>
    <w:p>
      <w:pPr>
        <w:spacing w:after="0" w:line="34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platform development projects. Purchases of property and equipment and capitalized software development costs may vary from period-to-period due to the timing of the expansion of our operations, the addition or reduction of headcount and our platform development cycles. As a result of capitalization of stock-based compensation in future periods and the growth of our business, we expect our capital expenditures and our investment activity to continue to increase.</w:t>
      </w:r>
    </w:p>
    <w:p>
      <w:pPr>
        <w:spacing w:after="0" w:line="60" w:lineRule="exact"/>
        <w:rPr>
          <w:sz w:val="20"/>
          <w:szCs w:val="20"/>
          <w:color w:val="auto"/>
        </w:rPr>
      </w:pPr>
    </w:p>
    <w:p>
      <w:pPr>
        <w:jc w:val="both"/>
        <w:ind w:right="120" w:firstLine="479"/>
        <w:spacing w:after="0" w:line="256" w:lineRule="auto"/>
        <w:rPr>
          <w:sz w:val="20"/>
          <w:szCs w:val="20"/>
          <w:color w:val="auto"/>
        </w:rPr>
      </w:pPr>
      <w:r>
        <w:rPr>
          <w:rFonts w:ascii="Arial" w:cs="Arial" w:eastAsia="Arial" w:hAnsi="Arial"/>
          <w:sz w:val="18"/>
          <w:szCs w:val="18"/>
          <w:color w:val="auto"/>
        </w:rPr>
        <w:t>Our cash flows used in investing activities for the six months ended June 30, 2023 was $6.5 million, a net increase of $2.1 million, or 49%, from cash flows used in investing activities for six months ended June 30, 2022 of $4.3 million. The change in cash flows for the six months ended June 30, 2023 was primarily due to:</w:t>
      </w:r>
    </w:p>
    <w:p>
      <w:pPr>
        <w:spacing w:after="0" w:line="83" w:lineRule="exact"/>
        <w:rPr>
          <w:sz w:val="20"/>
          <w:szCs w:val="20"/>
          <w:color w:val="auto"/>
        </w:rPr>
      </w:pPr>
    </w:p>
    <w:p>
      <w:pPr>
        <w:ind w:left="1280" w:hanging="635"/>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$6.1 million of investments in capitalized software to develop our technology in support of enhancing our platform; and</w:t>
      </w:r>
    </w:p>
    <w:p>
      <w:pPr>
        <w:spacing w:after="0" w:line="112" w:lineRule="exact"/>
        <w:rPr>
          <w:rFonts w:ascii="Arial" w:cs="Arial" w:eastAsia="Arial" w:hAnsi="Arial"/>
          <w:sz w:val="18"/>
          <w:szCs w:val="18"/>
          <w:color w:val="auto"/>
        </w:rPr>
      </w:pPr>
    </w:p>
    <w:p>
      <w:pPr>
        <w:ind w:left="1280" w:hanging="635"/>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$0.3 million of purchases of property and equipment.</w:t>
      </w:r>
    </w:p>
    <w:p>
      <w:pPr>
        <w:spacing w:after="0" w:line="112" w:lineRule="exact"/>
        <w:rPr>
          <w:sz w:val="20"/>
          <w:szCs w:val="20"/>
          <w:color w:val="auto"/>
        </w:rPr>
      </w:pPr>
    </w:p>
    <w:p>
      <w:pPr>
        <w:ind w:right="640" w:firstLine="479"/>
        <w:spacing w:after="0" w:line="266" w:lineRule="auto"/>
        <w:rPr>
          <w:sz w:val="20"/>
          <w:szCs w:val="20"/>
          <w:color w:val="auto"/>
        </w:rPr>
      </w:pPr>
      <w:r>
        <w:rPr>
          <w:rFonts w:ascii="Arial" w:cs="Arial" w:eastAsia="Arial" w:hAnsi="Arial"/>
          <w:sz w:val="18"/>
          <w:szCs w:val="18"/>
          <w:color w:val="231F20"/>
        </w:rPr>
        <w:t xml:space="preserve">During the </w:t>
      </w:r>
      <w:r>
        <w:rPr>
          <w:rFonts w:ascii="Arial" w:cs="Arial" w:eastAsia="Arial" w:hAnsi="Arial"/>
          <w:sz w:val="18"/>
          <w:szCs w:val="18"/>
          <w:color w:val="000000"/>
        </w:rPr>
        <w:t>six</w:t>
      </w:r>
      <w:r>
        <w:rPr>
          <w:rFonts w:ascii="Arial" w:cs="Arial" w:eastAsia="Arial" w:hAnsi="Arial"/>
          <w:sz w:val="18"/>
          <w:szCs w:val="18"/>
          <w:color w:val="231F20"/>
        </w:rPr>
        <w:t xml:space="preserve"> months ended </w:t>
      </w:r>
      <w:r>
        <w:rPr>
          <w:rFonts w:ascii="Arial" w:cs="Arial" w:eastAsia="Arial" w:hAnsi="Arial"/>
          <w:sz w:val="18"/>
          <w:szCs w:val="18"/>
          <w:color w:val="000000"/>
        </w:rPr>
        <w:t>June 30, 2022</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$4.3</w:t>
      </w:r>
      <w:r>
        <w:rPr>
          <w:rFonts w:ascii="Arial" w:cs="Arial" w:eastAsia="Arial" w:hAnsi="Arial"/>
          <w:sz w:val="18"/>
          <w:szCs w:val="18"/>
          <w:color w:val="231F20"/>
        </w:rPr>
        <w:t xml:space="preserve"> million resulted primarily from investments in capitalized software development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Cash Flows Used In Financing Activities</w:t>
      </w:r>
    </w:p>
    <w:p>
      <w:pPr>
        <w:spacing w:after="0" w:line="112" w:lineRule="exact"/>
        <w:rPr>
          <w:sz w:val="20"/>
          <w:szCs w:val="20"/>
          <w:color w:val="auto"/>
        </w:rPr>
      </w:pPr>
    </w:p>
    <w:p>
      <w:pPr>
        <w:ind w:right="260" w:firstLine="479"/>
        <w:spacing w:after="0" w:line="256" w:lineRule="auto"/>
        <w:rPr>
          <w:sz w:val="20"/>
          <w:szCs w:val="20"/>
          <w:color w:val="auto"/>
        </w:rPr>
      </w:pPr>
      <w:r>
        <w:rPr>
          <w:rFonts w:ascii="Arial" w:cs="Arial" w:eastAsia="Arial" w:hAnsi="Arial"/>
          <w:sz w:val="18"/>
          <w:szCs w:val="18"/>
          <w:color w:val="231F20"/>
        </w:rPr>
        <w:t>Our financing activities have consisted primarily of proceeds from borrowings and repayments of our debt, issuances of our equity and payments of member distributions in accordance with their assumed tax liabilities. Net cash provided by or used in financing activities has been and will be used to finance our operations, capital expenditures, platform development and our growth.</w:t>
      </w:r>
    </w:p>
    <w:p>
      <w:pPr>
        <w:spacing w:after="0" w:line="83" w:lineRule="exact"/>
        <w:rPr>
          <w:sz w:val="20"/>
          <w:szCs w:val="20"/>
          <w:color w:val="auto"/>
        </w:rPr>
      </w:pPr>
    </w:p>
    <w:p>
      <w:pPr>
        <w:ind w:right="380" w:firstLine="479"/>
        <w:spacing w:after="0" w:line="266" w:lineRule="auto"/>
        <w:rPr>
          <w:sz w:val="20"/>
          <w:szCs w:val="20"/>
          <w:color w:val="auto"/>
        </w:rPr>
      </w:pPr>
      <w:r>
        <w:rPr>
          <w:rFonts w:ascii="Arial" w:cs="Arial" w:eastAsia="Arial" w:hAnsi="Arial"/>
          <w:sz w:val="18"/>
          <w:szCs w:val="18"/>
          <w:color w:val="auto"/>
        </w:rPr>
        <w:t>Our cash flows used in financing activities for the six months ended June 30, 2023 was $7.1 million, which consisted of payments for member tax distributions and taxes paid related to the net share settlement of equity awards.</w:t>
      </w:r>
    </w:p>
    <w:p>
      <w:pPr>
        <w:spacing w:after="0" w:line="74" w:lineRule="exact"/>
        <w:rPr>
          <w:sz w:val="20"/>
          <w:szCs w:val="20"/>
          <w:color w:val="auto"/>
        </w:rPr>
      </w:pPr>
    </w:p>
    <w:p>
      <w:pPr>
        <w:ind w:right="720" w:firstLine="479"/>
        <w:spacing w:after="0" w:line="296" w:lineRule="auto"/>
        <w:rPr>
          <w:sz w:val="20"/>
          <w:szCs w:val="20"/>
          <w:color w:val="auto"/>
        </w:rPr>
      </w:pPr>
      <w:r>
        <w:rPr>
          <w:rFonts w:ascii="Arial" w:cs="Arial" w:eastAsia="Arial" w:hAnsi="Arial"/>
          <w:sz w:val="17"/>
          <w:szCs w:val="17"/>
          <w:color w:val="231F20"/>
        </w:rPr>
        <w:t xml:space="preserve">During the </w:t>
      </w:r>
      <w:r>
        <w:rPr>
          <w:rFonts w:ascii="Arial" w:cs="Arial" w:eastAsia="Arial" w:hAnsi="Arial"/>
          <w:sz w:val="17"/>
          <w:szCs w:val="17"/>
          <w:color w:val="000000"/>
        </w:rPr>
        <w:t>six</w:t>
      </w:r>
      <w:r>
        <w:rPr>
          <w:rFonts w:ascii="Arial" w:cs="Arial" w:eastAsia="Arial" w:hAnsi="Arial"/>
          <w:sz w:val="17"/>
          <w:szCs w:val="17"/>
          <w:color w:val="231F20"/>
        </w:rPr>
        <w:t xml:space="preserve"> months ended </w:t>
      </w:r>
      <w:r>
        <w:rPr>
          <w:rFonts w:ascii="Arial" w:cs="Arial" w:eastAsia="Arial" w:hAnsi="Arial"/>
          <w:sz w:val="17"/>
          <w:szCs w:val="17"/>
          <w:color w:val="000000"/>
        </w:rPr>
        <w:t>June 30, 2022, cash flows used in financing activities of $18.4 million resulted primarily from the $17.5 million</w:t>
      </w:r>
      <w:r>
        <w:rPr>
          <w:rFonts w:ascii="Arial" w:cs="Arial" w:eastAsia="Arial" w:hAnsi="Arial"/>
          <w:sz w:val="17"/>
          <w:szCs w:val="17"/>
          <w:color w:val="231F20"/>
        </w:rPr>
        <w:t xml:space="preserve"> </w:t>
      </w:r>
      <w:r>
        <w:rPr>
          <w:rFonts w:ascii="Arial" w:cs="Arial" w:eastAsia="Arial" w:hAnsi="Arial"/>
          <w:sz w:val="17"/>
          <w:szCs w:val="17"/>
          <w:color w:val="000000"/>
        </w:rPr>
        <w:t>repayment of our revolving credit facility and $0.9 million of taxes paid related to the net share settlement of equity awards.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18" w:lineRule="exact"/>
        <w:rPr>
          <w:sz w:val="20"/>
          <w:szCs w:val="20"/>
          <w:color w:val="auto"/>
        </w:rPr>
      </w:pPr>
    </w:p>
    <w:p>
      <w:pPr>
        <w:ind w:right="120" w:firstLine="479"/>
        <w:spacing w:after="0" w:line="295" w:lineRule="auto"/>
        <w:rPr>
          <w:sz w:val="20"/>
          <w:szCs w:val="20"/>
          <w:color w:val="auto"/>
        </w:rPr>
      </w:pPr>
      <w:r>
        <w:rPr>
          <w:rFonts w:ascii="Arial" w:cs="Arial" w:eastAsia="Arial" w:hAnsi="Arial"/>
          <w:sz w:val="16"/>
          <w:szCs w:val="16"/>
          <w:color w:val="auto"/>
        </w:rPr>
        <w:t>Our unaudited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4" w:lineRule="exact"/>
        <w:rPr>
          <w:sz w:val="20"/>
          <w:szCs w:val="20"/>
          <w:color w:val="auto"/>
        </w:rPr>
      </w:pPr>
    </w:p>
    <w:p>
      <w:pPr>
        <w:ind w:firstLine="479"/>
        <w:spacing w:after="0" w:line="250" w:lineRule="auto"/>
        <w:rPr>
          <w:sz w:val="20"/>
          <w:szCs w:val="20"/>
          <w:color w:val="auto"/>
        </w:rPr>
      </w:pPr>
      <w:r>
        <w:rPr>
          <w:rFonts w:ascii="Arial" w:cs="Arial" w:eastAsia="Arial" w:hAnsi="Arial"/>
          <w:sz w:val="18"/>
          <w:szCs w:val="18"/>
          <w:color w:val="auto"/>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stock and stock-based compensation, internal use software, and the assumptions used in the calculation of our expected loss rate used to determine our credit loss reserve have the greatest potential impact on our condensed consolidated financial statements. Therefore, we consider these to be our critical accounting policies and estimates.</w:t>
      </w:r>
    </w:p>
    <w:p>
      <w:pPr>
        <w:spacing w:after="0" w:line="88" w:lineRule="exact"/>
        <w:rPr>
          <w:sz w:val="20"/>
          <w:szCs w:val="20"/>
          <w:color w:val="auto"/>
        </w:rPr>
      </w:pPr>
    </w:p>
    <w:p>
      <w:pPr>
        <w:ind w:right="320" w:firstLine="479"/>
        <w:spacing w:after="0" w:line="330" w:lineRule="auto"/>
        <w:rPr>
          <w:sz w:val="20"/>
          <w:szCs w:val="20"/>
          <w:color w:val="auto"/>
        </w:rPr>
      </w:pPr>
      <w:r>
        <w:rPr>
          <w:rFonts w:ascii="Arial" w:cs="Arial" w:eastAsia="Arial" w:hAnsi="Arial"/>
          <w:sz w:val="16"/>
          <w:szCs w:val="16"/>
          <w:color w:val="auto"/>
        </w:rPr>
        <w:t>Since the date of our Annual Report on Form 10-K for the year ended December 31, 2022, there have been no material changes in our critical accounting policies and estimates disclosed in Part II, Item 7 “Management’s Discussion and Analysis of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Accounting Pronouncements</w:t>
      </w:r>
    </w:p>
    <w:p>
      <w:pPr>
        <w:spacing w:after="0" w:line="118" w:lineRule="exact"/>
        <w:rPr>
          <w:sz w:val="20"/>
          <w:szCs w:val="20"/>
          <w:color w:val="auto"/>
        </w:rPr>
      </w:pPr>
    </w:p>
    <w:p>
      <w:pPr>
        <w:ind w:right="340" w:firstLine="479"/>
        <w:spacing w:after="0" w:line="266" w:lineRule="auto"/>
        <w:rPr>
          <w:sz w:val="20"/>
          <w:szCs w:val="20"/>
          <w:color w:val="auto"/>
        </w:rPr>
      </w:pPr>
      <w:r>
        <w:rPr>
          <w:rFonts w:ascii="Arial" w:cs="Arial" w:eastAsia="Arial" w:hAnsi="Arial"/>
          <w:sz w:val="18"/>
          <w:szCs w:val="18"/>
          <w:color w:val="231F20"/>
        </w:rPr>
        <w:t xml:space="preserve">For information regarding recently issued accounting pronouncements, see </w:t>
      </w:r>
      <w:r>
        <w:rPr>
          <w:rFonts w:ascii="Arial" w:cs="Arial" w:eastAsia="Arial" w:hAnsi="Arial"/>
          <w:sz w:val="18"/>
          <w:szCs w:val="18"/>
          <w:color w:val="000000"/>
        </w:rPr>
        <w:t>Note 2—Basis of Presentation and Summary of Significant Accounting</w:t>
      </w:r>
      <w:r>
        <w:rPr>
          <w:rFonts w:ascii="Arial" w:cs="Arial" w:eastAsia="Arial" w:hAnsi="Arial"/>
          <w:sz w:val="18"/>
          <w:szCs w:val="18"/>
          <w:color w:val="231F20"/>
        </w:rPr>
        <w:t xml:space="preserve"> </w:t>
      </w:r>
      <w:r>
        <w:rPr>
          <w:rFonts w:ascii="Arial" w:cs="Arial" w:eastAsia="Arial" w:hAnsi="Arial"/>
          <w:sz w:val="18"/>
          <w:szCs w:val="18"/>
          <w:color w:val="000000"/>
        </w:rPr>
        <w:t xml:space="preserve">Policies </w:t>
      </w:r>
      <w:r>
        <w:rPr>
          <w:rFonts w:ascii="Arial" w:cs="Arial" w:eastAsia="Arial" w:hAnsi="Arial"/>
          <w:sz w:val="18"/>
          <w:szCs w:val="18"/>
          <w:color w:val="231F20"/>
        </w:rPr>
        <w:t>to our unaudited condensed consolidated financial statements.</w:t>
      </w:r>
    </w:p>
    <w:p>
      <w:pPr>
        <w:spacing w:after="0" w:line="39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8" w:lineRule="exact"/>
        <w:rPr>
          <w:sz w:val="20"/>
          <w:szCs w:val="20"/>
          <w:color w:val="auto"/>
        </w:rPr>
      </w:pPr>
    </w:p>
    <w:p>
      <w:pPr>
        <w:ind w:firstLine="479"/>
        <w:spacing w:after="0" w:line="256" w:lineRule="auto"/>
        <w:rPr>
          <w:sz w:val="20"/>
          <w:szCs w:val="20"/>
          <w:color w:val="auto"/>
        </w:rPr>
      </w:pPr>
      <w:r>
        <w:rPr>
          <w:rFonts w:ascii="Arial" w:cs="Arial" w:eastAsia="Arial" w:hAnsi="Arial"/>
          <w:sz w:val="18"/>
          <w:szCs w:val="18"/>
          <w:color w:val="auto"/>
        </w:rPr>
        <w:t>During the six months ended June 30, 2023, there have been no material changes in our exposure to market risk. For a discussion of our exposure to market risk, see Part II, Item 7A “Quantitative and Qualitative Disclosures About Market Risk” of our Annual Report on Form 10-K for the fiscal year ended December 31, 2022.</w:t>
      </w:r>
    </w:p>
    <w:p>
      <w:pPr>
        <w:spacing w:after="0" w:line="200" w:lineRule="exact"/>
        <w:rPr>
          <w:sz w:val="20"/>
          <w:szCs w:val="20"/>
          <w:color w:val="auto"/>
        </w:rPr>
      </w:pPr>
    </w:p>
    <w:p>
      <w:pPr>
        <w:spacing w:after="0" w:line="20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319"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2" w:lineRule="exact"/>
        <w:rPr>
          <w:sz w:val="20"/>
          <w:szCs w:val="20"/>
          <w:color w:val="auto"/>
        </w:rPr>
      </w:pPr>
    </w:p>
    <w:p>
      <w:pPr>
        <w:ind w:right="20" w:firstLine="479"/>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the end of the period covered by this Quarterly Report,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2" w:lineRule="exact"/>
        <w:rPr>
          <w:sz w:val="20"/>
          <w:szCs w:val="20"/>
          <w:color w:val="auto"/>
        </w:rPr>
      </w:pPr>
    </w:p>
    <w:p>
      <w:pPr>
        <w:jc w:val="both"/>
        <w:ind w:right="80" w:firstLine="479"/>
        <w:spacing w:after="0" w:line="330" w:lineRule="auto"/>
        <w:rPr>
          <w:sz w:val="20"/>
          <w:szCs w:val="20"/>
          <w:color w:val="auto"/>
        </w:rPr>
      </w:pPr>
      <w:r>
        <w:rPr>
          <w:rFonts w:ascii="Arial" w:cs="Arial" w:eastAsia="Arial" w:hAnsi="Arial"/>
          <w:sz w:val="16"/>
          <w:szCs w:val="16"/>
          <w:color w:val="auto"/>
        </w:rPr>
        <w:t>There was no change in our internal control over financial reporting (as defined in Rules 13a-15(d) and 15d-15(d) under the Exchange Act) during the period covered by this Quarterly Report that has materially affected, or is reasonably likely to materially affect, our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112" w:lineRule="exact"/>
        <w:rPr>
          <w:sz w:val="20"/>
          <w:szCs w:val="20"/>
          <w:color w:val="auto"/>
        </w:rPr>
      </w:pPr>
    </w:p>
    <w:p>
      <w:pPr>
        <w:ind w:firstLine="479"/>
        <w:spacing w:after="0" w:line="265"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42" w:name="page43"/>
    <w:bookmarkEnd w:id="42"/>
    <w:p>
      <w:pPr>
        <w:ind w:left="4460"/>
        <w:spacing w:after="0"/>
        <w:rPr>
          <w:sz w:val="20"/>
          <w:szCs w:val="20"/>
          <w:color w:val="auto"/>
        </w:rPr>
      </w:pPr>
      <w:r>
        <w:rPr>
          <w:rFonts w:ascii="Arial" w:cs="Arial" w:eastAsia="Arial" w:hAnsi="Arial"/>
          <w:sz w:val="18"/>
          <w:szCs w:val="18"/>
          <w:b w:val="1"/>
          <w:bCs w:val="1"/>
          <w:color w:val="auto"/>
        </w:rPr>
        <w:t>PART II—OTHER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8" w:lineRule="exact"/>
        <w:rPr>
          <w:sz w:val="20"/>
          <w:szCs w:val="20"/>
          <w:color w:val="auto"/>
        </w:rPr>
      </w:pPr>
    </w:p>
    <w:p>
      <w:pPr>
        <w:ind w:firstLine="479"/>
        <w:spacing w:after="0" w:line="270" w:lineRule="auto"/>
        <w:rPr>
          <w:sz w:val="20"/>
          <w:szCs w:val="20"/>
          <w:color w:val="auto"/>
        </w:rPr>
      </w:pPr>
      <w:r>
        <w:rPr>
          <w:rFonts w:ascii="Arial" w:cs="Arial" w:eastAsia="Arial" w:hAnsi="Arial"/>
          <w:sz w:val="17"/>
          <w:szCs w:val="17"/>
          <w:color w:val="auto"/>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8" w:lineRule="exact"/>
        <w:rPr>
          <w:sz w:val="20"/>
          <w:szCs w:val="20"/>
          <w:color w:val="auto"/>
        </w:rPr>
      </w:pPr>
    </w:p>
    <w:p>
      <w:pPr>
        <w:ind w:right="20" w:firstLine="479"/>
        <w:spacing w:after="0" w:line="250"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risks and uncertainties described below, together with all other information contained in this Quarterly Report and in our other public filings, including our unaudited condensed consolidated financial statements and the related notes included elsewhere in this Quarterly Report.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 of your investment.</w:t>
      </w:r>
    </w:p>
    <w:p>
      <w:pPr>
        <w:spacing w:after="0" w:line="19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RISK FACTOR SUMMARY</w:t>
      </w:r>
    </w:p>
    <w:p>
      <w:pPr>
        <w:spacing w:after="0" w:line="118" w:lineRule="exact"/>
        <w:rPr>
          <w:sz w:val="20"/>
          <w:szCs w:val="20"/>
          <w:color w:val="auto"/>
        </w:rPr>
      </w:pPr>
    </w:p>
    <w:p>
      <w:pPr>
        <w:ind w:right="40" w:firstLine="479"/>
        <w:spacing w:after="0" w:line="256" w:lineRule="auto"/>
        <w:rPr>
          <w:sz w:val="20"/>
          <w:szCs w:val="20"/>
          <w:color w:val="auto"/>
        </w:rPr>
      </w:pPr>
      <w:r>
        <w:rPr>
          <w:rFonts w:ascii="Arial" w:cs="Arial" w:eastAsia="Arial" w:hAnsi="Arial"/>
          <w:sz w:val="18"/>
          <w:szCs w:val="18"/>
          <w:color w:val="auto"/>
        </w:rPr>
        <w:t>Our business is subject to numerous risks and uncertainties, including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this Quarterly Report. You should carefully consider these risks and uncertainties when investing in our Class A common stock. Some of the principal risks and uncertainties include the following:</w:t>
      </w:r>
    </w:p>
    <w:p>
      <w:pPr>
        <w:spacing w:after="0" w:line="83" w:lineRule="exact"/>
        <w:rPr>
          <w:sz w:val="20"/>
          <w:szCs w:val="20"/>
          <w:color w:val="auto"/>
        </w:rPr>
      </w:pPr>
    </w:p>
    <w:p>
      <w:pPr>
        <w:ind w:left="960" w:right="180" w:hanging="474"/>
        <w:spacing w:after="0" w:line="26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success and revenue growth are dependent on adding new customers, effectively educating and training our existing customers on how to make full use of our platform and increasing usage of our platform by our customers;</w:t>
      </w:r>
    </w:p>
    <w:p>
      <w:pPr>
        <w:spacing w:after="0" w:line="73" w:lineRule="exact"/>
        <w:rPr>
          <w:rFonts w:ascii="Arial" w:cs="Arial" w:eastAsia="Arial" w:hAnsi="Arial"/>
          <w:sz w:val="18"/>
          <w:szCs w:val="18"/>
          <w:color w:val="auto"/>
        </w:rPr>
      </w:pPr>
    </w:p>
    <w:p>
      <w:pPr>
        <w:ind w:left="960" w:right="80" w:hanging="474"/>
        <w:spacing w:after="0" w:line="26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realize the expected benefits of an industry shift away from cookie-based consumer tracking as such shift may not occur as rapidly as we expect or may not be realized at all;</w:t>
      </w:r>
    </w:p>
    <w:p>
      <w:pPr>
        <w:spacing w:after="0" w:line="73" w:lineRule="exact"/>
        <w:rPr>
          <w:rFonts w:ascii="Arial" w:cs="Arial" w:eastAsia="Arial" w:hAnsi="Arial"/>
          <w:sz w:val="18"/>
          <w:szCs w:val="18"/>
          <w:color w:val="auto"/>
        </w:rPr>
      </w:pPr>
    </w:p>
    <w:p>
      <w:pPr>
        <w:ind w:left="960" w:right="280" w:hanging="474"/>
        <w:spacing w:after="0" w:line="26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fail to innovate and make the right investment decisions in our offerings and platform, we may not attract and retain customers and our revenue and results of operations may decline;</w:t>
      </w:r>
    </w:p>
    <w:p>
      <w:pPr>
        <w:spacing w:after="0" w:line="73" w:lineRule="exact"/>
        <w:rPr>
          <w:rFonts w:ascii="Arial" w:cs="Arial" w:eastAsia="Arial" w:hAnsi="Arial"/>
          <w:sz w:val="18"/>
          <w:szCs w:val="18"/>
          <w:color w:val="auto"/>
        </w:rPr>
      </w:pPr>
    </w:p>
    <w:p>
      <w:pPr>
        <w:ind w:left="960" w:right="440" w:hanging="474"/>
        <w:spacing w:after="0" w:line="26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for programmatic advertising is evolving. If this market develops slower or differently than we expect, our business, operating results and financial condition would be adversely affected;</w:t>
      </w:r>
    </w:p>
    <w:p>
      <w:pPr>
        <w:spacing w:after="0" w:line="73" w:lineRule="exact"/>
        <w:rPr>
          <w:rFonts w:ascii="Arial" w:cs="Arial" w:eastAsia="Arial" w:hAnsi="Arial"/>
          <w:sz w:val="18"/>
          <w:szCs w:val="18"/>
          <w:color w:val="auto"/>
        </w:rPr>
      </w:pPr>
    </w:p>
    <w:p>
      <w:pPr>
        <w:ind w:left="960" w:right="640" w:hanging="474"/>
        <w:spacing w:after="0" w:line="330"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receive a significant amount of revenue from a select number of advertising agency holding companies, owning various advertising agencies, and the loss of advertising agencies as customers could harm our business, operating results and financial condition;</w:t>
      </w:r>
    </w:p>
    <w:p>
      <w:pPr>
        <w:spacing w:after="0" w:line="26" w:lineRule="exact"/>
        <w:rPr>
          <w:rFonts w:ascii="Arial" w:cs="Arial" w:eastAsia="Arial" w:hAnsi="Arial"/>
          <w:sz w:val="16"/>
          <w:szCs w:val="16"/>
          <w:color w:val="auto"/>
        </w:rPr>
      </w:pPr>
    </w:p>
    <w:p>
      <w:pPr>
        <w:ind w:left="960" w:right="20" w:hanging="474"/>
        <w:spacing w:after="0" w:line="330"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26" w:lineRule="exact"/>
        <w:rPr>
          <w:rFonts w:ascii="Arial" w:cs="Arial" w:eastAsia="Arial" w:hAnsi="Arial"/>
          <w:sz w:val="16"/>
          <w:szCs w:val="16"/>
          <w:color w:val="auto"/>
        </w:rPr>
      </w:pPr>
    </w:p>
    <w:p>
      <w:pPr>
        <w:ind w:left="960" w:right="140" w:hanging="474"/>
        <w:spacing w:after="0" w:line="296" w:lineRule="auto"/>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effects of macroeconomic conditions and geopolitical events, such as inflation, rising interest rates, and other adverse market events, have had, and could in the future have, an adverse impact on our business, operating results and financial condition;</w:t>
      </w:r>
    </w:p>
    <w:p>
      <w:pPr>
        <w:spacing w:after="0" w:line="50" w:lineRule="exact"/>
        <w:rPr>
          <w:rFonts w:ascii="Arial" w:cs="Arial" w:eastAsia="Arial" w:hAnsi="Arial"/>
          <w:sz w:val="17"/>
          <w:szCs w:val="17"/>
          <w:color w:val="auto"/>
        </w:rPr>
      </w:pPr>
    </w:p>
    <w:p>
      <w:pPr>
        <w:ind w:left="960" w:hanging="47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our access to advertising inventory is diminished or fails to grow, our revenue could decline and our growth could be impeded;</w:t>
      </w:r>
    </w:p>
    <w:p>
      <w:pPr>
        <w:spacing w:after="0" w:line="112" w:lineRule="exact"/>
        <w:rPr>
          <w:rFonts w:ascii="Arial" w:cs="Arial" w:eastAsia="Arial" w:hAnsi="Arial"/>
          <w:sz w:val="18"/>
          <w:szCs w:val="18"/>
          <w:color w:val="auto"/>
        </w:rPr>
      </w:pPr>
    </w:p>
    <w:p>
      <w:pPr>
        <w:ind w:left="960" w:right="140" w:hanging="474"/>
        <w:spacing w:after="0" w:line="26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our access to people-based data is diminished, the effectiveness of our platform would be decreased, which could harm our operating results and financial condition;</w:t>
      </w:r>
    </w:p>
    <w:p>
      <w:pPr>
        <w:spacing w:after="0" w:line="73" w:lineRule="exact"/>
        <w:rPr>
          <w:rFonts w:ascii="Arial" w:cs="Arial" w:eastAsia="Arial" w:hAnsi="Arial"/>
          <w:sz w:val="18"/>
          <w:szCs w:val="18"/>
          <w:color w:val="auto"/>
        </w:rPr>
      </w:pPr>
    </w:p>
    <w:p>
      <w:pPr>
        <w:ind w:left="960" w:right="160" w:hanging="474"/>
        <w:spacing w:after="0" w:line="251"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subject to stringent and changing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customers or sales, revenue declines, increase the cost of data, reduce the availability of data, reduce our ability to utilize or disclose data, adversely affect the demand for our products and services, or other adverse business consequences;</w:t>
      </w:r>
    </w:p>
    <w:p>
      <w:pPr>
        <w:spacing w:after="0" w:line="89" w:lineRule="exact"/>
        <w:rPr>
          <w:rFonts w:ascii="Arial" w:cs="Arial" w:eastAsia="Arial" w:hAnsi="Arial"/>
          <w:sz w:val="18"/>
          <w:szCs w:val="18"/>
          <w:color w:val="auto"/>
        </w:rPr>
      </w:pPr>
    </w:p>
    <w:p>
      <w:pPr>
        <w:ind w:left="960" w:right="20" w:hanging="474"/>
        <w:spacing w:after="0" w:line="25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business or ability to operate our platform could be impacted by changes in the technology industry by technology companies, end users, or government regulation. Such developments, including the restriction of “third-party cookies,” could cause instability in the advertising technology industry;</w:t>
      </w:r>
    </w:p>
    <w:p>
      <w:pPr>
        <w:spacing w:after="0" w:line="200" w:lineRule="exact"/>
        <w:rPr>
          <w:sz w:val="20"/>
          <w:szCs w:val="20"/>
          <w:color w:val="auto"/>
        </w:rPr>
      </w:pPr>
    </w:p>
    <w:p>
      <w:pPr>
        <w:spacing w:after="0" w:line="20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43" w:name="page44"/>
    <w:bookmarkEnd w:id="43"/>
    <w:p>
      <w:pPr>
        <w:ind w:left="960" w:right="620" w:hanging="474"/>
        <w:spacing w:after="0" w:line="330"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significant inadvertent disclosure or breach of our information technology systems or data, or of the security of our or our customers’, suppliers’, or other third parties’ upon which we rely could be detrimental to our business, reputation and results of operations;</w:t>
      </w:r>
    </w:p>
    <w:p>
      <w:pPr>
        <w:spacing w:after="0" w:line="26" w:lineRule="exact"/>
        <w:rPr>
          <w:rFonts w:ascii="Arial" w:cs="Arial" w:eastAsia="Arial" w:hAnsi="Arial"/>
          <w:sz w:val="16"/>
          <w:szCs w:val="16"/>
          <w:color w:val="auto"/>
        </w:rPr>
      </w:pPr>
    </w:p>
    <w:p>
      <w:pPr>
        <w:ind w:left="960" w:right="60" w:hanging="474"/>
        <w:spacing w:after="0" w:line="266"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proprietary rights may be difficult to enforce, which could enable others to copy or use aspects of our technology without compensating us, thereby eroding our competitive advantages and harming our business;</w:t>
      </w:r>
    </w:p>
    <w:p>
      <w:pPr>
        <w:spacing w:after="0" w:line="73" w:lineRule="exact"/>
        <w:rPr>
          <w:rFonts w:ascii="Arial" w:cs="Arial" w:eastAsia="Arial" w:hAnsi="Arial"/>
          <w:sz w:val="18"/>
          <w:szCs w:val="18"/>
          <w:color w:val="auto"/>
        </w:rPr>
      </w:pPr>
    </w:p>
    <w:p>
      <w:pPr>
        <w:ind w:left="960" w:right="940" w:hanging="474"/>
        <w:spacing w:after="0" w:line="266"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market price of our Class A common stock has been and may continue to be volatile or may decline regardless of our operating performance; and</w:t>
      </w:r>
    </w:p>
    <w:p>
      <w:pPr>
        <w:spacing w:after="0" w:line="73" w:lineRule="exact"/>
        <w:rPr>
          <w:rFonts w:ascii="Arial" w:cs="Arial" w:eastAsia="Arial" w:hAnsi="Arial"/>
          <w:sz w:val="18"/>
          <w:szCs w:val="18"/>
          <w:color w:val="auto"/>
        </w:rPr>
      </w:pPr>
    </w:p>
    <w:p>
      <w:pPr>
        <w:ind w:left="960" w:right="100" w:hanging="474"/>
        <w:spacing w:after="0" w:line="266"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listing standards of the Nasdaq Global Select Market and, as a result, qualify for, and rely on, exemptions from certain corporate governance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i w:val="1"/>
          <w:iCs w:val="1"/>
          <w:color w:val="auto"/>
        </w:rPr>
        <w:t>Our success and revenue growth are dependent on adding new customers, effectively educating and training our existing customers on how to make full use of our platform and increasing usage of our platform by our customers.</w:t>
      </w:r>
    </w:p>
    <w:p>
      <w:pPr>
        <w:spacing w:after="0" w:line="74" w:lineRule="exact"/>
        <w:rPr>
          <w:sz w:val="20"/>
          <w:szCs w:val="20"/>
          <w:color w:val="auto"/>
        </w:rPr>
      </w:pPr>
    </w:p>
    <w:p>
      <w:pPr>
        <w:ind w:firstLine="479"/>
        <w:spacing w:after="0" w:line="281" w:lineRule="auto"/>
        <w:rPr>
          <w:sz w:val="20"/>
          <w:szCs w:val="20"/>
          <w:color w:val="auto"/>
        </w:rPr>
      </w:pPr>
      <w:r>
        <w:rPr>
          <w:rFonts w:ascii="Arial" w:cs="Arial" w:eastAsia="Arial" w:hAnsi="Arial"/>
          <w:sz w:val="16"/>
          <w:szCs w:val="16"/>
          <w:color w:val="auto"/>
        </w:rPr>
        <w:t>Our success is dependent on regularly adding new customers and our ability to increase our customers’ usage of our platform, continuously enhance and improve our offerings and platform, build our brand, scale our technology capabilities, add functionality to and improve the performance of Adelphic, and address technological and industry advancements, including the use of artificial intelligence (“AI”).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ROAS. Accordingly, we must continually work to win new customers and retain existing customers, increase their usage of our platform and capture a larger share of their advertising spend. For those customers utilizing our self-service capabilities, we may not be successful at educating and training customers, particularly our newer customers, on how to use our platform, in particular our advanced reporting tools,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spacing w:after="0" w:line="177"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i w:val="1"/>
          <w:iCs w:val="1"/>
          <w:color w:val="auto"/>
        </w:rPr>
        <w:t>We may not realize the expected benefits of an industry shift away from cookie-based consumer tracking as such shift may not occur as rapidly as we expect or may not be realized at all.</w:t>
      </w:r>
    </w:p>
    <w:p>
      <w:pPr>
        <w:spacing w:after="0" w:line="74" w:lineRule="exact"/>
        <w:rPr>
          <w:sz w:val="20"/>
          <w:szCs w:val="20"/>
          <w:color w:val="auto"/>
        </w:rPr>
      </w:pPr>
    </w:p>
    <w:p>
      <w:pPr>
        <w:ind w:firstLine="479"/>
        <w:spacing w:after="0" w:line="250" w:lineRule="auto"/>
        <w:rPr>
          <w:sz w:val="20"/>
          <w:szCs w:val="20"/>
          <w:color w:val="auto"/>
        </w:rPr>
      </w:pPr>
      <w:r>
        <w:rPr>
          <w:rFonts w:ascii="Arial" w:cs="Arial" w:eastAsia="Arial" w:hAnsi="Arial"/>
          <w:sz w:val="18"/>
          <w:szCs w:val="18"/>
          <w:color w:val="auto"/>
        </w:rPr>
        <w:t>We expect to benefit as compared to others in our industry from marketers reducing their reliance on vendors and advertising technology platforms that utilize third-party cookies for tracking. However, the shift away from cookie-based consumer tracking may not happen as rapidly as we expect and such shift may not occur at all. For example, in July 2022, Google announced that its previously announced timeline of blocking third-party cookies by 2022 would be delayed until the second half of 2024. Additionally, even if the shift away from cookie-based consumer tracking does occur,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spacing w:after="0" w:line="19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i w:val="1"/>
          <w:iCs w:val="1"/>
          <w:color w:val="auto"/>
        </w:rPr>
        <w:t>If we fail to innovate and make the right investment decisions in our offerings and platform, we may not attract and retain customers and our revenue and results of operations may decline.</w:t>
      </w:r>
    </w:p>
    <w:p>
      <w:pPr>
        <w:spacing w:after="0" w:line="74" w:lineRule="exact"/>
        <w:rPr>
          <w:sz w:val="20"/>
          <w:szCs w:val="20"/>
          <w:color w:val="auto"/>
        </w:rPr>
      </w:pPr>
    </w:p>
    <w:p>
      <w:pPr>
        <w:ind w:right="120" w:firstLine="479"/>
        <w:spacing w:after="0" w:line="284" w:lineRule="auto"/>
        <w:rPr>
          <w:sz w:val="20"/>
          <w:szCs w:val="20"/>
          <w:color w:val="auto"/>
        </w:rPr>
      </w:pPr>
      <w:r>
        <w:rPr>
          <w:rFonts w:ascii="Arial" w:cs="Arial" w:eastAsia="Arial" w:hAnsi="Arial"/>
          <w:sz w:val="16"/>
          <w:szCs w:val="16"/>
          <w:color w:val="auto"/>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including those leveraging artificial intelligence and machine learning, our offerings could become technologically or commercially obsolete over time, in which case our revenue and operating results would suffer. In addition, such new products, services, or enhancement may create new or exacerbate existing, technological, security, legal and other challenges, could cause unintended consequences, and might not perform as intended.</w:t>
      </w:r>
    </w:p>
    <w:p>
      <w:pPr>
        <w:spacing w:after="0" w:line="38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4" w:name="page45"/>
    <w:bookmarkEnd w:id="44"/>
    <w:p>
      <w:pPr>
        <w:jc w:val="both"/>
        <w:ind w:right="320"/>
        <w:spacing w:after="0" w:line="256" w:lineRule="auto"/>
        <w:rPr>
          <w:sz w:val="20"/>
          <w:szCs w:val="20"/>
          <w:color w:val="auto"/>
        </w:rPr>
      </w:pPr>
      <w:r>
        <w:rPr>
          <w:rFonts w:ascii="Arial" w:cs="Arial" w:eastAsia="Arial" w:hAnsi="Arial"/>
          <w:sz w:val="18"/>
          <w:szCs w:val="18"/>
          <w:color w:val="auto"/>
        </w:rPr>
        <w:t>If new or existing competitors have more attractive offerings, we may lose customers or customers may decrease their use of our platform. New customer demands, superior competitive offerings or new industry standards could require us to make unanticipated and costly changes to our platform or business model.</w:t>
      </w:r>
    </w:p>
    <w:p>
      <w:pPr>
        <w:spacing w:after="0" w:line="83" w:lineRule="exact"/>
        <w:rPr>
          <w:sz w:val="20"/>
          <w:szCs w:val="20"/>
          <w:color w:val="auto"/>
        </w:rPr>
      </w:pPr>
    </w:p>
    <w:p>
      <w:pPr>
        <w:ind w:right="220" w:firstLine="479"/>
        <w:spacing w:after="0" w:line="256" w:lineRule="auto"/>
        <w:rPr>
          <w:sz w:val="20"/>
          <w:szCs w:val="20"/>
          <w:color w:val="auto"/>
        </w:rPr>
      </w:pPr>
      <w:r>
        <w:rPr>
          <w:rFonts w:ascii="Arial" w:cs="Arial" w:eastAsia="Arial" w:hAnsi="Arial"/>
          <w:sz w:val="18"/>
          <w:szCs w:val="18"/>
          <w:color w:val="auto"/>
        </w:rPr>
        <w:t>If we fail to enhance our current products and services or fail to develop new products to adapt to our rapidly changing industry and applicable laws, regulations, and other legal obligations, or to evolving customer needs, demand for our platform could decrease and our business, operating results and financial condition may be adversely affected.</w:t>
      </w:r>
    </w:p>
    <w:p>
      <w:pPr>
        <w:spacing w:after="0" w:line="190"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i w:val="1"/>
          <w:iCs w:val="1"/>
          <w:color w:val="auto"/>
        </w:rPr>
        <w:t>The market for programmatic advertising is evolving. If this market develops slower or differently than we expect, our business, operating results and financial condition would be adversely affected.</w:t>
      </w:r>
    </w:p>
    <w:p>
      <w:pPr>
        <w:spacing w:after="0" w:line="74" w:lineRule="exact"/>
        <w:rPr>
          <w:sz w:val="20"/>
          <w:szCs w:val="20"/>
          <w:color w:val="auto"/>
        </w:rPr>
      </w:pPr>
    </w:p>
    <w:p>
      <w:pPr>
        <w:ind w:right="240" w:firstLine="479"/>
        <w:spacing w:after="0" w:line="268" w:lineRule="auto"/>
        <w:rPr>
          <w:sz w:val="20"/>
          <w:szCs w:val="20"/>
          <w:color w:val="auto"/>
        </w:rPr>
      </w:pPr>
      <w:r>
        <w:rPr>
          <w:rFonts w:ascii="Arial" w:cs="Arial" w:eastAsia="Arial" w:hAnsi="Arial"/>
          <w:sz w:val="17"/>
          <w:szCs w:val="17"/>
          <w:color w:val="auto"/>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spacing w:after="0" w:line="75" w:lineRule="exact"/>
        <w:rPr>
          <w:sz w:val="20"/>
          <w:szCs w:val="20"/>
          <w:color w:val="auto"/>
        </w:rPr>
      </w:pPr>
    </w:p>
    <w:p>
      <w:pPr>
        <w:ind w:right="80" w:firstLine="479"/>
        <w:spacing w:after="0" w:line="285" w:lineRule="auto"/>
        <w:rPr>
          <w:sz w:val="20"/>
          <w:szCs w:val="20"/>
          <w:color w:val="auto"/>
        </w:rPr>
      </w:pPr>
      <w:r>
        <w:rPr>
          <w:rFonts w:ascii="Arial" w:cs="Arial" w:eastAsia="Arial" w:hAnsi="Arial"/>
          <w:sz w:val="16"/>
          <w:szCs w:val="16"/>
          <w:color w:val="auto"/>
        </w:rPr>
        <w:t>In particular, the market for programmatic advertising across most advertising channels, including connected TV, linear TV, in-game, streaming audio and digital billboard channels is an emerging market. Our ability to provide capabilities across most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the growth in demand for our connected TV offering may not continue. Furthermore, if our channel mix changes due to a shift in customer demand, such as customers shifting their usage more quickly or more extensively than expected to channels in which we have relatively less functionality, features or inventory, such as linear TV, then demand for our platform could decrease, and our business, financial condition and results of operations could be adversely affected.</w:t>
      </w:r>
    </w:p>
    <w:p>
      <w:pPr>
        <w:spacing w:after="0" w:line="169"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b w:val="1"/>
          <w:bCs w:val="1"/>
          <w:i w:val="1"/>
          <w:iCs w:val="1"/>
          <w:color w:val="auto"/>
        </w:rPr>
        <w:t>We receive a significant amount of revenue from a select number of advertising agency holding companies, owning various advertising agencies, and the loss of advertising agencies as customers could harm our business, operating results and financial condition.</w:t>
      </w:r>
    </w:p>
    <w:p>
      <w:pPr>
        <w:spacing w:after="0" w:line="50" w:lineRule="exact"/>
        <w:rPr>
          <w:sz w:val="20"/>
          <w:szCs w:val="20"/>
          <w:color w:val="auto"/>
        </w:rPr>
      </w:pPr>
    </w:p>
    <w:p>
      <w:pPr>
        <w:ind w:firstLine="479"/>
        <w:spacing w:after="0" w:line="251" w:lineRule="auto"/>
        <w:rPr>
          <w:sz w:val="20"/>
          <w:szCs w:val="20"/>
          <w:color w:val="auto"/>
        </w:rPr>
      </w:pPr>
      <w:r>
        <w:rPr>
          <w:rFonts w:ascii="Arial" w:cs="Arial" w:eastAsia="Arial" w:hAnsi="Arial"/>
          <w:sz w:val="18"/>
          <w:szCs w:val="18"/>
          <w:color w:val="auto"/>
        </w:rPr>
        <w:t>A significant amount of our revenue comes from advertising agencies. We had 314 active customers for the twelve months ended June 30, 2023, consisting primarily of advertising agencies. Many of these agencies are owned by advertising agency holding companies, where decision making is generally highly decentralized such that purchasing decisions are made, and relationships with marketers are located, at the agency, local branch or division level. Due to the highly decentralized operations and decision-making at the agencies owned by each of these advertising agency holding companies, we consider the individual agencies rather than the holding company to be our customers.</w:t>
      </w:r>
    </w:p>
    <w:p>
      <w:pPr>
        <w:spacing w:after="0" w:line="89" w:lineRule="exact"/>
        <w:rPr>
          <w:sz w:val="20"/>
          <w:szCs w:val="20"/>
          <w:color w:val="auto"/>
        </w:rPr>
      </w:pPr>
    </w:p>
    <w:p>
      <w:pPr>
        <w:ind w:right="60" w:firstLine="479"/>
        <w:spacing w:after="0" w:line="253" w:lineRule="auto"/>
        <w:rPr>
          <w:sz w:val="20"/>
          <w:szCs w:val="20"/>
          <w:color w:val="auto"/>
        </w:rPr>
      </w:pPr>
      <w:r>
        <w:rPr>
          <w:rFonts w:ascii="Arial" w:cs="Arial" w:eastAsia="Arial" w:hAnsi="Arial"/>
          <w:sz w:val="18"/>
          <w:szCs w:val="18"/>
          <w:color w:val="auto"/>
        </w:rPr>
        <w:t>Often, we enter into separate contracts and billing relationships with the individual agencies and account for them as separate customers. However, some holding companies for these agencies may choose to exert control over the individual agencies in the future. If so, any loss of relationships with such holding companies and, consequently, of their agencies, local branches or divisions, as customers could significantly harm our business, operating results and financial condition.</w:t>
      </w:r>
    </w:p>
    <w:p>
      <w:pPr>
        <w:spacing w:after="0" w:line="86" w:lineRule="exact"/>
        <w:rPr>
          <w:sz w:val="20"/>
          <w:szCs w:val="20"/>
          <w:color w:val="auto"/>
        </w:rPr>
      </w:pPr>
    </w:p>
    <w:p>
      <w:pPr>
        <w:ind w:right="20" w:firstLine="479"/>
        <w:spacing w:after="0" w:line="279" w:lineRule="auto"/>
        <w:rPr>
          <w:sz w:val="20"/>
          <w:szCs w:val="20"/>
          <w:color w:val="auto"/>
        </w:rPr>
      </w:pPr>
      <w:r>
        <w:rPr>
          <w:rFonts w:ascii="Arial" w:cs="Arial" w:eastAsia="Arial" w:hAnsi="Arial"/>
          <w:sz w:val="17"/>
          <w:szCs w:val="17"/>
          <w:color w:val="auto"/>
        </w:rPr>
        <w:t>We do not have exclusive relationships with advertising agencies and we depend on agencies to work with us as they embark on advertising campaigns for their clients. The loss of such agencies could significantly harm our business, operating results and financial condition. If we fail to maintain satisfactory relationships with an advertising agency, we risk losing business from the marketers represented by that agency.</w:t>
      </w:r>
    </w:p>
    <w:p>
      <w:pPr>
        <w:spacing w:after="0" w:line="64" w:lineRule="exact"/>
        <w:rPr>
          <w:sz w:val="20"/>
          <w:szCs w:val="20"/>
          <w:color w:val="auto"/>
        </w:rPr>
      </w:pPr>
    </w:p>
    <w:p>
      <w:pPr>
        <w:ind w:right="100" w:firstLine="479"/>
        <w:spacing w:after="0" w:line="273" w:lineRule="auto"/>
        <w:rPr>
          <w:sz w:val="20"/>
          <w:szCs w:val="20"/>
          <w:color w:val="auto"/>
        </w:rPr>
      </w:pPr>
      <w:r>
        <w:rPr>
          <w:rFonts w:ascii="Arial" w:cs="Arial" w:eastAsia="Arial" w:hAnsi="Arial"/>
          <w:sz w:val="17"/>
          <w:szCs w:val="17"/>
          <w:color w:val="auto"/>
        </w:rPr>
        <w:t>Marketers may change advertising agencies. If a marketer switches from an agency that utilizes our platform to one that does not, we could lose revenue from that marketer. In addition, some advertising agencies have strong relationships with competing DSPs or other platforms and may direct their marketers to such other platforms. If a significant number of marketers and their agencies begin to utilize competing platforms for the administration of their advertising campaigns, our business, financial condition and results of operations could be adversely affected.</w:t>
      </w:r>
    </w:p>
    <w:p>
      <w:pPr>
        <w:spacing w:after="0" w:line="176" w:lineRule="exact"/>
        <w:rPr>
          <w:sz w:val="20"/>
          <w:szCs w:val="20"/>
          <w:color w:val="auto"/>
        </w:rPr>
      </w:pPr>
    </w:p>
    <w:p>
      <w:pPr>
        <w:ind w:right="460"/>
        <w:spacing w:after="0" w:line="396" w:lineRule="auto"/>
        <w:rPr>
          <w:sz w:val="20"/>
          <w:szCs w:val="20"/>
          <w:color w:val="auto"/>
        </w:rPr>
      </w:pPr>
      <w:r>
        <w:rPr>
          <w:rFonts w:ascii="Arial" w:cs="Arial" w:eastAsia="Arial" w:hAnsi="Arial"/>
          <w:sz w:val="14"/>
          <w:szCs w:val="14"/>
          <w:b w:val="1"/>
          <w:bCs w:val="1"/>
          <w:i w:val="1"/>
          <w:iCs w:val="1"/>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1" w:lineRule="exact"/>
        <w:rPr>
          <w:sz w:val="20"/>
          <w:szCs w:val="20"/>
          <w:color w:val="auto"/>
        </w:rPr>
      </w:pPr>
    </w:p>
    <w:p>
      <w:pPr>
        <w:ind w:right="480" w:firstLine="479"/>
        <w:spacing w:after="0" w:line="266" w:lineRule="auto"/>
        <w:rPr>
          <w:sz w:val="20"/>
          <w:szCs w:val="20"/>
          <w:color w:val="auto"/>
        </w:rPr>
      </w:pPr>
      <w:r>
        <w:rPr>
          <w:rFonts w:ascii="Arial" w:cs="Arial" w:eastAsia="Arial" w:hAnsi="Arial"/>
          <w:sz w:val="18"/>
          <w:szCs w:val="18"/>
          <w:color w:val="auto"/>
        </w:rPr>
        <w:t>Our sales cycle, from initial contact to contract execution and implementation, can take significant time. As part of our sales cycle, we may incur significant expenses before we generate any revenue from a prospective customer. The substantial time and</w:t>
      </w:r>
    </w:p>
    <w:p>
      <w:pPr>
        <w:spacing w:after="0" w:line="39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5" w:name="page46"/>
    <w:bookmarkEnd w:id="45"/>
    <w:p>
      <w:pPr>
        <w:spacing w:after="0" w:line="286" w:lineRule="auto"/>
        <w:rPr>
          <w:sz w:val="20"/>
          <w:szCs w:val="20"/>
          <w:color w:val="auto"/>
        </w:rPr>
      </w:pPr>
      <w:r>
        <w:rPr>
          <w:rFonts w:ascii="Arial" w:cs="Arial" w:eastAsia="Arial" w:hAnsi="Arial"/>
          <w:sz w:val="16"/>
          <w:szCs w:val="16"/>
          <w:color w:val="auto"/>
        </w:rPr>
        <w:t>money spent on our sales efforts may not generate significant revenue. If conditions in the marketplace, generally or with a specific prospective customer, change negatively, it is possible that we will be unable to recover any of these expenses. Our sales efforts involve educating our customers about the use, technical capabilities and benefits of our platform. Many of our prospective customers undertake a lengthy evaluation process that involves assessing our platform against the offerings of our competitors. As a result, it is difficult to predict when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spacing w:after="0" w:line="169"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b w:val="1"/>
          <w:bCs w:val="1"/>
          <w:i w:val="1"/>
          <w:iCs w:val="1"/>
          <w:color w:val="auto"/>
        </w:rPr>
        <w:t>The effects of macroeconomic conditions and geopolitical events, such as inflation, rising interest rates and other adverse market events, have had, and could in the future have, an adverse impact on our business, operating results and financial condition.</w:t>
      </w:r>
    </w:p>
    <w:p>
      <w:pPr>
        <w:spacing w:after="0" w:line="50" w:lineRule="exact"/>
        <w:rPr>
          <w:sz w:val="20"/>
          <w:szCs w:val="20"/>
          <w:color w:val="auto"/>
        </w:rPr>
      </w:pPr>
    </w:p>
    <w:p>
      <w:pPr>
        <w:ind w:right="300" w:firstLine="479"/>
        <w:spacing w:after="0" w:line="295" w:lineRule="auto"/>
        <w:rPr>
          <w:sz w:val="20"/>
          <w:szCs w:val="20"/>
          <w:color w:val="auto"/>
        </w:rPr>
      </w:pPr>
      <w:r>
        <w:rPr>
          <w:rFonts w:ascii="Arial" w:cs="Arial" w:eastAsia="Arial" w:hAnsi="Arial"/>
          <w:sz w:val="16"/>
          <w:szCs w:val="16"/>
          <w:color w:val="auto"/>
        </w:rPr>
        <w:t>Our business and operations have been and could in the future be adversely affected by macroeconomic conditions and geopolitical events, such as bank failures, rising interest rates, inflationary pressures, labor shortages, shortages of goods and services, supply chain constraints, pandemics, and the ongoing Russia-Ukraine conflict. A recession, depression, or other economic slowdown resulting from macroeconomic conditions and geopolitical events could materially and adversely affect our business and that of our customers or potential customers and our results could fluctuate unpredictably.</w:t>
      </w:r>
    </w:p>
    <w:p>
      <w:pPr>
        <w:spacing w:after="0" w:line="54" w:lineRule="exact"/>
        <w:rPr>
          <w:sz w:val="20"/>
          <w:szCs w:val="20"/>
          <w:color w:val="auto"/>
        </w:rPr>
      </w:pPr>
    </w:p>
    <w:p>
      <w:pPr>
        <w:ind w:firstLine="479"/>
        <w:spacing w:after="0" w:line="264" w:lineRule="auto"/>
        <w:rPr>
          <w:sz w:val="20"/>
          <w:szCs w:val="20"/>
          <w:color w:val="auto"/>
        </w:rPr>
      </w:pPr>
      <w:r>
        <w:rPr>
          <w:rFonts w:ascii="Arial" w:cs="Arial" w:eastAsia="Arial" w:hAnsi="Arial"/>
          <w:sz w:val="17"/>
          <w:szCs w:val="17"/>
          <w:color w:val="auto"/>
        </w:rPr>
        <w:t>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Our customers’ and potential customers’ businesses or cash flows have recently been and may continue to be negatively impacted by the economic uncertainty related to, among other things, bank failures, inflation and monetary supply shifts, labor shortages, supply shortages, tightening of credit markets, pandemics and the ongoing Russia-Ukraine conflict,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may be adversely impacted if the business or financial condition of our customers and marketers is negatively affected by macroeconomic conditions and geopolitical events. During the first half of 2023, we observed decreases in revenue that we attribute to marketers in certain industry verticals, particularly those in the business and financial services as well as professional services, decreasing or pausing their advertising spend due to the impacts of recent macroeconomic conditions.</w:t>
      </w:r>
    </w:p>
    <w:p>
      <w:pPr>
        <w:spacing w:after="0" w:line="78" w:lineRule="exact"/>
        <w:rPr>
          <w:sz w:val="20"/>
          <w:szCs w:val="20"/>
          <w:color w:val="auto"/>
        </w:rPr>
      </w:pPr>
    </w:p>
    <w:p>
      <w:pPr>
        <w:ind w:right="140" w:firstLine="479"/>
        <w:spacing w:after="0" w:line="253" w:lineRule="auto"/>
        <w:rPr>
          <w:sz w:val="20"/>
          <w:szCs w:val="20"/>
          <w:color w:val="auto"/>
        </w:rPr>
      </w:pPr>
      <w:r>
        <w:rPr>
          <w:rFonts w:ascii="Arial" w:cs="Arial" w:eastAsia="Arial" w:hAnsi="Arial"/>
          <w:sz w:val="18"/>
          <w:szCs w:val="18"/>
          <w:color w:val="auto"/>
        </w:rPr>
        <w:t>Economic uncertainty caused by macroeconomic and geopolitical conditions can also make it more difficult to forecast revenue and operating results and to make decisions regarding operational cost structures and investments. We have committed, and we plan to continue to commit, resources to grow our business, including to further develop our platform and systems, and such investments may be impacted by adverse macroeconomic conditions and geopolitical events.</w:t>
      </w:r>
    </w:p>
    <w:p>
      <w:pPr>
        <w:spacing w:after="0" w:line="19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 or maintain our current customers.</w:t>
      </w:r>
    </w:p>
    <w:p>
      <w:pPr>
        <w:spacing w:after="0" w:line="83" w:lineRule="exact"/>
        <w:rPr>
          <w:sz w:val="20"/>
          <w:szCs w:val="20"/>
          <w:color w:val="auto"/>
        </w:rPr>
      </w:pPr>
    </w:p>
    <w:p>
      <w:pPr>
        <w:ind w:right="20" w:firstLine="479"/>
        <w:spacing w:after="0" w:line="288" w:lineRule="auto"/>
        <w:rPr>
          <w:sz w:val="20"/>
          <w:szCs w:val="20"/>
          <w:color w:val="auto"/>
        </w:rPr>
      </w:pPr>
      <w:r>
        <w:rPr>
          <w:rFonts w:ascii="Arial" w:cs="Arial" w:eastAsia="Arial" w:hAnsi="Arial"/>
          <w:sz w:val="16"/>
          <w:szCs w:val="16"/>
          <w:color w:val="auto"/>
        </w:rPr>
        <w:t>Because we operate a platform that has many powerful and complex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spacing w:after="0" w:line="60" w:lineRule="exact"/>
        <w:rPr>
          <w:sz w:val="20"/>
          <w:szCs w:val="20"/>
          <w:color w:val="auto"/>
        </w:rPr>
      </w:pPr>
    </w:p>
    <w:p>
      <w:pPr>
        <w:ind w:right="140" w:firstLine="479"/>
        <w:spacing w:after="0" w:line="290" w:lineRule="auto"/>
        <w:rPr>
          <w:sz w:val="20"/>
          <w:szCs w:val="20"/>
          <w:color w:val="auto"/>
        </w:rPr>
      </w:pPr>
      <w:r>
        <w:rPr>
          <w:rFonts w:ascii="Arial" w:cs="Arial" w:eastAsia="Arial" w:hAnsi="Arial"/>
          <w:sz w:val="16"/>
          <w:szCs w:val="16"/>
          <w:color w:val="auto"/>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 customers’ advertising campaigns, our ability to retain our existing customers could suffer and our reputation with existing or potential customers could be harmed, which would negatively impact our business.</w:t>
      </w:r>
    </w:p>
    <w:p>
      <w:pPr>
        <w:spacing w:after="0" w:line="37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46" w:name="page47"/>
    <w:bookmarkEnd w:id="46"/>
    <w:p>
      <w:pPr>
        <w:ind w:right="100"/>
        <w:spacing w:after="0" w:line="266" w:lineRule="auto"/>
        <w:rPr>
          <w:sz w:val="20"/>
          <w:szCs w:val="20"/>
          <w:color w:val="auto"/>
        </w:rPr>
      </w:pPr>
      <w:r>
        <w:rPr>
          <w:rFonts w:ascii="Arial" w:cs="Arial" w:eastAsia="Arial" w:hAnsi="Arial"/>
          <w:sz w:val="18"/>
          <w:szCs w:val="18"/>
          <w:b w:val="1"/>
          <w:bCs w:val="1"/>
          <w:i w:val="1"/>
          <w:iCs w:val="1"/>
          <w:color w:val="auto"/>
        </w:rPr>
        <w:t>We are subject to payment-related risks and if our customers do not pay, or dispute their invoices, our business, operating results and financial condition may be adversely affected.</w:t>
      </w:r>
    </w:p>
    <w:p>
      <w:pPr>
        <w:spacing w:after="0" w:line="74" w:lineRule="exact"/>
        <w:rPr>
          <w:sz w:val="20"/>
          <w:szCs w:val="20"/>
          <w:color w:val="auto"/>
        </w:rPr>
      </w:pPr>
    </w:p>
    <w:p>
      <w:pPr>
        <w:ind w:firstLine="479"/>
        <w:spacing w:after="0" w:line="249" w:lineRule="auto"/>
        <w:rPr>
          <w:sz w:val="20"/>
          <w:szCs w:val="20"/>
          <w:color w:val="auto"/>
        </w:rPr>
      </w:pPr>
      <w:r>
        <w:rPr>
          <w:rFonts w:ascii="Arial" w:cs="Arial" w:eastAsia="Arial" w:hAnsi="Arial"/>
          <w:sz w:val="18"/>
          <w:szCs w:val="18"/>
          <w:color w:val="auto"/>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and credit risk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92" w:lineRule="exact"/>
        <w:rPr>
          <w:sz w:val="20"/>
          <w:szCs w:val="20"/>
          <w:color w:val="auto"/>
        </w:rPr>
      </w:pPr>
    </w:p>
    <w:p>
      <w:pPr>
        <w:ind w:right="60" w:firstLine="479"/>
        <w:spacing w:after="0" w:line="253" w:lineRule="auto"/>
        <w:rPr>
          <w:sz w:val="20"/>
          <w:szCs w:val="20"/>
          <w:color w:val="auto"/>
        </w:rPr>
      </w:pPr>
      <w:r>
        <w:rPr>
          <w:rFonts w:ascii="Arial" w:cs="Arial" w:eastAsia="Arial" w:hAnsi="Arial"/>
          <w:sz w:val="18"/>
          <w:szCs w:val="18"/>
          <w:color w:val="auto"/>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spacing w:after="0" w:line="86" w:lineRule="exact"/>
        <w:rPr>
          <w:sz w:val="20"/>
          <w:szCs w:val="20"/>
          <w:color w:val="auto"/>
        </w:rPr>
      </w:pPr>
    </w:p>
    <w:p>
      <w:pPr>
        <w:ind w:right="80" w:firstLine="479"/>
        <w:spacing w:after="0" w:line="250" w:lineRule="auto"/>
        <w:rPr>
          <w:sz w:val="20"/>
          <w:szCs w:val="20"/>
          <w:color w:val="auto"/>
        </w:rPr>
      </w:pPr>
      <w:r>
        <w:rPr>
          <w:rFonts w:ascii="Arial" w:cs="Arial" w:eastAsia="Arial" w:hAnsi="Arial"/>
          <w:sz w:val="18"/>
          <w:szCs w:val="18"/>
          <w:color w:val="auto"/>
        </w:rPr>
        <w:t>Due to this potential imbalance in our collections and payments, we may rely on our credit facility to partially or completely fund our working capital requirements. As we continue to grow, our business may not generate sufficient cash flow from operations and future borrowings may not be available to us under the credit facility in an amount sufficient to fund our working capital needs. If our cash flows and credit facility borrowings are insufficient to fund our working capital requirements, we may not be able to grow at the rate we currently expect or at all. In addition, in the absence of sufficient cash flows from operations, we might be unable to meet our obligations under our credit facility and we may be at risk of default thereunder. We may not be able to access additional financing or increase our borrowing or borrowing capacity under our current or any future credit facility on commercially reasonable terms or at all.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access to advertising inventory is diminished or fails to grow, our revenue could decline and our growth could be impeded.</w:t>
      </w:r>
    </w:p>
    <w:p>
      <w:pPr>
        <w:spacing w:after="0" w:line="112" w:lineRule="exact"/>
        <w:rPr>
          <w:sz w:val="20"/>
          <w:szCs w:val="20"/>
          <w:color w:val="auto"/>
        </w:rPr>
      </w:pPr>
    </w:p>
    <w:p>
      <w:pPr>
        <w:ind w:right="20" w:firstLine="479"/>
        <w:spacing w:after="0" w:line="250" w:lineRule="auto"/>
        <w:rPr>
          <w:sz w:val="20"/>
          <w:szCs w:val="20"/>
          <w:color w:val="auto"/>
        </w:rPr>
      </w:pPr>
      <w:r>
        <w:rPr>
          <w:rFonts w:ascii="Arial" w:cs="Arial" w:eastAsia="Arial" w:hAnsi="Arial"/>
          <w:sz w:val="18"/>
          <w:szCs w:val="18"/>
          <w:color w:val="auto"/>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We may not have access to a consistent supply of inventory on favorable terms or at all.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w:t>
      </w:r>
    </w:p>
    <w:p>
      <w:pPr>
        <w:spacing w:after="0" w:line="88" w:lineRule="exact"/>
        <w:rPr>
          <w:sz w:val="20"/>
          <w:szCs w:val="20"/>
          <w:color w:val="auto"/>
        </w:rPr>
      </w:pPr>
    </w:p>
    <w:p>
      <w:pPr>
        <w:ind w:right="40" w:firstLine="479"/>
        <w:spacing w:after="0" w:line="251" w:lineRule="auto"/>
        <w:rPr>
          <w:sz w:val="20"/>
          <w:szCs w:val="20"/>
          <w:color w:val="auto"/>
        </w:rPr>
      </w:pPr>
      <w:r>
        <w:rPr>
          <w:rFonts w:ascii="Arial" w:cs="Arial" w:eastAsia="Arial" w:hAnsi="Arial"/>
          <w:sz w:val="18"/>
          <w:szCs w:val="18"/>
          <w:color w:val="auto"/>
        </w:rPr>
        <w:t>As new types of inventory, such as digital advertising for television, become more readily available, we will need to expend significant resources to ensure we have access to such new inventory. Although television advertising is a large market, only a relatively small percentage of it is currently purchased programmatically. We are investing heavily in our programmatic television offering, including by adding new features, functions and integrations to our platform. If the digital television advertising market does not grow as we anticipate or we fail to successfully serve such a market, our growth prospects could be harmed.</w:t>
      </w:r>
    </w:p>
    <w:p>
      <w:pPr>
        <w:spacing w:after="0" w:line="89" w:lineRule="exact"/>
        <w:rPr>
          <w:sz w:val="20"/>
          <w:szCs w:val="20"/>
          <w:color w:val="auto"/>
        </w:rPr>
      </w:pPr>
    </w:p>
    <w:p>
      <w:pPr>
        <w:ind w:right="120" w:firstLine="479"/>
        <w:spacing w:after="0" w:line="266" w:lineRule="auto"/>
        <w:rPr>
          <w:sz w:val="20"/>
          <w:szCs w:val="20"/>
          <w:color w:val="auto"/>
        </w:rPr>
      </w:pPr>
      <w:r>
        <w:rPr>
          <w:rFonts w:ascii="Arial" w:cs="Arial" w:eastAsia="Arial" w:hAnsi="Arial"/>
          <w:sz w:val="18"/>
          <w:szCs w:val="18"/>
          <w:color w:val="auto"/>
        </w:rPr>
        <w:t>Our success depends on consistently adding valued inventory in a cost-effective manner. If we are unable to maintain a consistent supply of inventory for any reason, customer retention and loyalty, and our operating results and financial condition could be harmed.</w:t>
      </w:r>
    </w:p>
    <w:p>
      <w:pPr>
        <w:spacing w:after="0" w:line="180"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b w:val="1"/>
          <w:bCs w:val="1"/>
          <w:i w:val="1"/>
          <w:iCs w:val="1"/>
          <w:color w:val="auto"/>
        </w:rPr>
        <w:t>If our access to people-based data is diminished, the effectiveness of our platform would be decreased, which could harm our operating results and financial condition.</w:t>
      </w:r>
    </w:p>
    <w:p>
      <w:pPr>
        <w:spacing w:after="0" w:line="74" w:lineRule="exact"/>
        <w:rPr>
          <w:sz w:val="20"/>
          <w:szCs w:val="20"/>
          <w:color w:val="auto"/>
        </w:rPr>
      </w:pPr>
    </w:p>
    <w:p>
      <w:pPr>
        <w:ind w:right="40" w:firstLine="479"/>
        <w:spacing w:after="0" w:line="250" w:lineRule="auto"/>
        <w:rPr>
          <w:sz w:val="20"/>
          <w:szCs w:val="20"/>
          <w:color w:val="auto"/>
        </w:rPr>
      </w:pPr>
      <w:r>
        <w:rPr>
          <w:rFonts w:ascii="Arial" w:cs="Arial" w:eastAsia="Arial" w:hAnsi="Arial"/>
          <w:sz w:val="18"/>
          <w:szCs w:val="18"/>
          <w:color w:val="auto"/>
        </w:rPr>
        <w:t>Much of the data that we use is obtained through integrations with third parties. We are dependent upon our ability to obtain necessary data licenses on commercially reasonable terms. We could suffer material adverse consequences if we were unable to obtain data through our integrations with third parties, including inventory and data suppliers. Our ability to serve particular customers is also enhanced when such customers upload their own first-party data. Our operation of our platform and access to data could be negatively affected if, due to legal, contractual, privacy, reputational, market optics, competition or other economic concerns, third parties cease entering into integration agreements with us or customers cease uploading their data to our platform. Additionally, we could terminate relationships with our third party partners, including inventory or data suppliers, if they fail to adhere to our data quality and privacy standards.</w:t>
      </w:r>
    </w:p>
    <w:p>
      <w:pPr>
        <w:spacing w:after="0" w:line="88" w:lineRule="exact"/>
        <w:rPr>
          <w:sz w:val="20"/>
          <w:szCs w:val="20"/>
          <w:color w:val="auto"/>
        </w:rPr>
      </w:pPr>
    </w:p>
    <w:p>
      <w:pPr>
        <w:ind w:right="260" w:firstLine="479"/>
        <w:spacing w:after="0" w:line="256" w:lineRule="auto"/>
        <w:rPr>
          <w:sz w:val="20"/>
          <w:szCs w:val="20"/>
          <w:color w:val="auto"/>
        </w:rPr>
      </w:pPr>
      <w:r>
        <w:rPr>
          <w:rFonts w:ascii="Arial" w:cs="Arial" w:eastAsia="Arial" w:hAnsi="Arial"/>
          <w:sz w:val="18"/>
          <w:szCs w:val="18"/>
          <w:color w:val="auto"/>
        </w:rPr>
        <w:t>Laws in the United States (including the California Consumer Privacy Act of 2018 (“CCPA”), as amended by the California Privacy Rights Act of 2020 (“CPRA”)) and other jurisdictions such as Europe (including GDPR, ePrivacy Directive) and increased regulatory activity has focused on third-party data suppliers. These laws pose additional and material compliance risks to such</w:t>
      </w: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25" w:right="339" w:bottom="1440" w:gutter="0" w:footer="0" w:header="0"/>
        </w:sectPr>
      </w:pPr>
    </w:p>
    <w:bookmarkStart w:id="47" w:name="page48"/>
    <w:bookmarkEnd w:id="47"/>
    <w:p>
      <w:pPr>
        <w:ind w:right="120"/>
        <w:spacing w:after="0" w:line="270" w:lineRule="auto"/>
        <w:rPr>
          <w:sz w:val="20"/>
          <w:szCs w:val="20"/>
          <w:color w:val="auto"/>
        </w:rPr>
      </w:pPr>
      <w:r>
        <w:rPr>
          <w:rFonts w:ascii="Arial" w:cs="Arial" w:eastAsia="Arial" w:hAnsi="Arial"/>
          <w:sz w:val="17"/>
          <w:szCs w:val="17"/>
          <w:color w:val="auto"/>
        </w:rPr>
        <w:t>suppliers, and they may not be able to comply with such laws, which would limit our ability to obtain data that is necessary to operate our core business. For example, some data suppliers are required to register as data brokers under California and Vermont privacy laws, file reports with regulators and expose themselves to increased scrutiny. In addition, we may face compliance risks and limitations on our ability to use certain data provided by our third-party suppliers if those suppliers have not complied with applicable privacy laws, provided appropriate notice to data subjects, obtained necessary consents, or established a legal basis for the transfer and processing of the data by us.</w:t>
      </w:r>
    </w:p>
    <w:p>
      <w:pPr>
        <w:spacing w:after="0" w:line="72" w:lineRule="exact"/>
        <w:rPr>
          <w:sz w:val="20"/>
          <w:szCs w:val="20"/>
          <w:color w:val="auto"/>
        </w:rPr>
      </w:pPr>
    </w:p>
    <w:p>
      <w:pPr>
        <w:ind w:right="120" w:firstLine="479"/>
        <w:spacing w:after="0" w:line="281" w:lineRule="auto"/>
        <w:rPr>
          <w:sz w:val="20"/>
          <w:szCs w:val="20"/>
          <w:color w:val="auto"/>
        </w:rPr>
      </w:pPr>
      <w:r>
        <w:rPr>
          <w:rFonts w:ascii="Arial" w:cs="Arial" w:eastAsia="Arial" w:hAnsi="Arial"/>
          <w:sz w:val="16"/>
          <w:szCs w:val="16"/>
          <w:color w:val="auto"/>
        </w:rPr>
        <w:t>Furthermore, digital advertising and in-app advertising are largely dependent on established technology companies and their operation of the most commonly used internet browsers (Chrome, Firefox, Internet Explorer and Safari), devices, operating systems (such as Android and iOS) and applications.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For example, Apple introduced an iOS update in April 2021 that only allows tracking of user activity after an opt-in by users, and Google has announced that it will introduce similar changes that will provide users with the ability to opt-out of tracking across devices using the Android operating system. Individuals may increasingly resist the collection, use, and sharing of personal data to deliver targeted advertising. Individuals are increasingly becoming aware of options related to consent, “do not track” mechanisms, and “ad-blocking” software, any of which could materially impact our and our data supplier’s ability to collect, use and disclose personal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 Please see “—Risks Related to Data Privacy” for additional discussion of the laws and regulations governing the collection of data to which we are or may become subject and about the risks to our business associated with such laws and regulations.</w:t>
      </w:r>
    </w:p>
    <w:p>
      <w:pPr>
        <w:spacing w:after="0" w:line="70" w:lineRule="exact"/>
        <w:rPr>
          <w:sz w:val="20"/>
          <w:szCs w:val="20"/>
          <w:color w:val="auto"/>
        </w:rPr>
      </w:pPr>
    </w:p>
    <w:p>
      <w:pPr>
        <w:ind w:firstLine="479"/>
        <w:spacing w:after="0" w:line="256" w:lineRule="auto"/>
        <w:rPr>
          <w:sz w:val="20"/>
          <w:szCs w:val="20"/>
          <w:color w:val="auto"/>
        </w:rPr>
      </w:pPr>
      <w:r>
        <w:rPr>
          <w:rFonts w:ascii="Arial" w:cs="Arial" w:eastAsia="Arial" w:hAnsi="Arial"/>
          <w:sz w:val="18"/>
          <w:szCs w:val="18"/>
          <w:color w:val="auto"/>
        </w:rPr>
        <w:t>If we were to lose access to significant amounts of the data that enables our people-based framework, or the compliance obligations for our suppliers or us become too onerous, our ability to provide products and services to our customers could be materially and adversely impacted, which could be materially adverse to our business, operating results and financial condition.</w:t>
      </w:r>
    </w:p>
    <w:p>
      <w:pPr>
        <w:spacing w:after="0" w:line="190"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i w:val="1"/>
          <w:iCs w:val="1"/>
          <w:color w:val="auto"/>
        </w:rPr>
        <w:t>If we do not effectively grow and train our sales and support teams, we may be unable to add new customers or increase usage of our platform by our existing customers and our business will be adversely affected.</w:t>
      </w:r>
    </w:p>
    <w:p>
      <w:pPr>
        <w:spacing w:after="0" w:line="74" w:lineRule="exact"/>
        <w:rPr>
          <w:sz w:val="20"/>
          <w:szCs w:val="20"/>
          <w:color w:val="auto"/>
        </w:rPr>
      </w:pPr>
    </w:p>
    <w:p>
      <w:pPr>
        <w:ind w:right="40" w:firstLine="479"/>
        <w:spacing w:after="0" w:line="266" w:lineRule="auto"/>
        <w:rPr>
          <w:sz w:val="20"/>
          <w:szCs w:val="20"/>
          <w:color w:val="auto"/>
        </w:rPr>
      </w:pPr>
      <w:r>
        <w:rPr>
          <w:rFonts w:ascii="Arial" w:cs="Arial" w:eastAsia="Arial" w:hAnsi="Arial"/>
          <w:sz w:val="17"/>
          <w:szCs w:val="17"/>
          <w:color w:val="auto"/>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spacing w:after="0" w:line="170"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b w:val="1"/>
          <w:bCs w:val="1"/>
          <w:i w:val="1"/>
          <w:iCs w:val="1"/>
          <w:color w:val="auto"/>
        </w:rPr>
        <w:t>Our initiatives to reduce our operating expenses and the associated workforce reduction announced on December 9, 2022 could disrupt our business, may not result in our anticipated savings, and could result in total costs and expenses that are greater than expected.</w:t>
      </w:r>
    </w:p>
    <w:p>
      <w:pPr>
        <w:spacing w:after="0" w:line="41" w:lineRule="exact"/>
        <w:rPr>
          <w:sz w:val="20"/>
          <w:szCs w:val="20"/>
          <w:color w:val="auto"/>
        </w:rPr>
      </w:pPr>
    </w:p>
    <w:p>
      <w:pPr>
        <w:ind w:firstLine="479"/>
        <w:spacing w:after="0" w:line="265" w:lineRule="auto"/>
        <w:rPr>
          <w:sz w:val="20"/>
          <w:szCs w:val="20"/>
          <w:color w:val="auto"/>
        </w:rPr>
      </w:pPr>
      <w:r>
        <w:rPr>
          <w:rFonts w:ascii="Arial" w:cs="Arial" w:eastAsia="Arial" w:hAnsi="Arial"/>
          <w:sz w:val="17"/>
          <w:szCs w:val="17"/>
          <w:color w:val="auto"/>
        </w:rPr>
        <w:t>As a result of recent adverse economic trends, such as inflationary pressures, rising interest rates, and other macroeconomic and geopolitical events, we have initiated a cost reduction initiative aimed at reducing our operating expenses and sharpening our focus on key growth priorities in light of the current macroeconomic environment. As part of that initiative, we announced a reduction in force involving approximately 13.0% of our then-current workforce on December 9, 2022. Our workforce reduction could yield unanticipated consequences, such as attrition beyond planned staff reductions, increased difficulties in our day-to-day operations and reduced employee morale. If employees who were not affected by the reductions in force seek alternative employment, this could result in us seeking contractor support at unplanned additional expense or harm our productivity. Our workforce reductions could also harm our ability to attract and retain qualified management, sales and operational personnel who are critical to our business. Further, we may incur additional expenses not currently contemplated due to events associated with the reduction in force, which could result in losses in future periods. We also may not realize, in full or in part, the anticipated benefits and savings from the reduction in force due to unforeseen difficulties, delays or unexpected costs. Our ongoing and future initiatives to re-balance our cost structure may be disruptive to our operations and could result in increased costs in the short-term before significant benefits are achieved.</w:t>
      </w:r>
    </w:p>
    <w:p>
      <w:pPr>
        <w:spacing w:after="0" w:line="39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8" w:name="page49"/>
    <w:bookmarkEnd w:id="48"/>
    <w:p>
      <w:pPr>
        <w:ind w:right="180"/>
        <w:spacing w:after="0" w:line="266"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are unable to maintain it, whether as a result of corporate growth or reduction in force, our business, operating results and financial condition could be harmed.</w:t>
      </w:r>
    </w:p>
    <w:p>
      <w:pPr>
        <w:spacing w:after="0" w:line="74" w:lineRule="exact"/>
        <w:rPr>
          <w:sz w:val="20"/>
          <w:szCs w:val="20"/>
          <w:color w:val="auto"/>
        </w:rPr>
      </w:pPr>
    </w:p>
    <w:p>
      <w:pPr>
        <w:ind w:right="20" w:firstLine="479"/>
        <w:spacing w:after="0" w:line="288" w:lineRule="auto"/>
        <w:rPr>
          <w:sz w:val="20"/>
          <w:szCs w:val="20"/>
          <w:color w:val="auto"/>
        </w:rPr>
      </w:pPr>
      <w:r>
        <w:rPr>
          <w:rFonts w:ascii="Arial" w:cs="Arial" w:eastAsia="Arial" w:hAnsi="Arial"/>
          <w:sz w:val="16"/>
          <w:szCs w:val="16"/>
          <w:color w:val="auto"/>
        </w:rPr>
        <w:t>We had 328 employees as of June 30, 2023. We believe our corporate culture has been critical to our success and we have invested substantial time and resources in building our team within our company culture. However, it may be difficult to maintain our culture, whether as a result of corporate growth or reduction in force, which could reduce our ability to innovate and operate effectively and proactively focus on and pursue our corporate objectives. The failure to maintain the key aspects of our culture could 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our business, operating results and financial condition could be harmed.</w:t>
      </w:r>
    </w:p>
    <w:p>
      <w:pPr>
        <w:spacing w:after="0" w:line="166"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b w:val="1"/>
          <w:bCs w:val="1"/>
          <w:i w:val="1"/>
          <w:iCs w:val="1"/>
          <w:color w:val="auto"/>
        </w:rPr>
        <w:t>We allow our customers and suppliers to utilize application programming interfaces (“APIs”), with our platform, which could result in outages or security breaches and negatively impact our business, operating results and financial condition.</w:t>
      </w:r>
    </w:p>
    <w:p>
      <w:pPr>
        <w:spacing w:after="0" w:line="74" w:lineRule="exact"/>
        <w:rPr>
          <w:sz w:val="20"/>
          <w:szCs w:val="20"/>
          <w:color w:val="auto"/>
        </w:rPr>
      </w:pPr>
    </w:p>
    <w:p>
      <w:pPr>
        <w:ind w:right="80" w:firstLine="479"/>
        <w:spacing w:after="0" w:line="283" w:lineRule="auto"/>
        <w:rPr>
          <w:sz w:val="20"/>
          <w:szCs w:val="20"/>
          <w:color w:val="auto"/>
        </w:rPr>
      </w:pPr>
      <w:r>
        <w:rPr>
          <w:rFonts w:ascii="Arial" w:cs="Arial" w:eastAsia="Arial" w:hAnsi="Arial"/>
          <w:sz w:val="16"/>
          <w:szCs w:val="16"/>
          <w:color w:val="auto"/>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cyber-attacks (including denial-of-service attacks), malicious internet-based activity online and offline fraud, and other similar activities threaten the confidentiality, integrity, and availability of our platform. Furthermore, while 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security and outage risks associated with the use of APIs, such measures may not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spacing w:after="0" w:line="173" w:lineRule="exact"/>
        <w:rPr>
          <w:sz w:val="20"/>
          <w:szCs w:val="20"/>
          <w:color w:val="auto"/>
        </w:rPr>
      </w:pPr>
    </w:p>
    <w:p>
      <w:pPr>
        <w:ind w:right="620"/>
        <w:spacing w:after="0" w:line="296" w:lineRule="auto"/>
        <w:rPr>
          <w:sz w:val="20"/>
          <w:szCs w:val="20"/>
          <w:color w:val="auto"/>
        </w:rPr>
      </w:pPr>
      <w:r>
        <w:rPr>
          <w:rFonts w:ascii="Arial" w:cs="Arial" w:eastAsia="Arial" w:hAnsi="Arial"/>
          <w:sz w:val="17"/>
          <w:szCs w:val="17"/>
          <w:b w:val="1"/>
          <w:bCs w:val="1"/>
          <w:i w:val="1"/>
          <w:iCs w:val="1"/>
          <w:color w:val="auto"/>
        </w:rPr>
        <w:t>Operational and performance issues with our platform, whether actual or perceived, including a failure to respond to technological changes or to upgrade our technology systems, may adversely affect our business, operating results and financial condition.</w:t>
      </w:r>
    </w:p>
    <w:p>
      <w:pPr>
        <w:spacing w:after="0" w:line="50" w:lineRule="exact"/>
        <w:rPr>
          <w:sz w:val="20"/>
          <w:szCs w:val="20"/>
          <w:color w:val="auto"/>
        </w:rPr>
      </w:pPr>
    </w:p>
    <w:p>
      <w:pPr>
        <w:ind w:firstLine="479"/>
        <w:spacing w:after="0" w:line="253" w:lineRule="auto"/>
        <w:rPr>
          <w:sz w:val="20"/>
          <w:szCs w:val="20"/>
          <w:color w:val="auto"/>
        </w:rPr>
      </w:pPr>
      <w:r>
        <w:rPr>
          <w:rFonts w:ascii="Arial" w:cs="Arial" w:eastAsia="Arial" w:hAnsi="Arial"/>
          <w:sz w:val="18"/>
          <w:szCs w:val="18"/>
          <w:color w:val="auto"/>
        </w:rPr>
        <w:t>We depend upon the sustained and uninterrupted performance of our platform to manage our inventory supply, acquire inventory for each campaign; collect, process and interpret data; and optimize campaign performance in real time and provide billing information to our financial systems. If our platform cannot scale to meet demand, if there are errors in our execution of any of these functions on our platform, or if we experience outages, then our business may be harmed.</w:t>
      </w:r>
    </w:p>
    <w:p>
      <w:pPr>
        <w:spacing w:after="0" w:line="86" w:lineRule="exact"/>
        <w:rPr>
          <w:sz w:val="20"/>
          <w:szCs w:val="20"/>
          <w:color w:val="auto"/>
        </w:rPr>
      </w:pPr>
    </w:p>
    <w:p>
      <w:pPr>
        <w:ind w:firstLine="479"/>
        <w:spacing w:after="0" w:line="264" w:lineRule="auto"/>
        <w:rPr>
          <w:sz w:val="20"/>
          <w:szCs w:val="20"/>
          <w:color w:val="auto"/>
        </w:rPr>
      </w:pPr>
      <w:r>
        <w:rPr>
          <w:rFonts w:ascii="Arial" w:cs="Arial" w:eastAsia="Arial" w:hAnsi="Arial"/>
          <w:sz w:val="17"/>
          <w:szCs w:val="17"/>
          <w:color w:val="auto"/>
        </w:rPr>
        <w:t>Our platform is complex and multifaceted, and operational and performance issues could arise both from the platform itself or from outside factors, such as cyberattacks or other third-party attacks. Errors, failures, vulnerabilities or bugs have been found in the past, and may be found in the future. We have not always been able in the past and may be unable in the future to detect vulnerabilities in our information technology systems (including our products), and vulnerabilities may not be detected until after a security incident has occurred. Further, we may experience delays in developing and deploying remedial measures designed to address any such identified vulnerabilities.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could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will shut our platform down completely, others only partially. We provide service level agreements to some of our customers, and if our platform is not available for specified amounts of time, we may be required to provide credits or other financial compensation to our customers.</w:t>
      </w:r>
    </w:p>
    <w:p>
      <w:pPr>
        <w:spacing w:after="0" w:line="82" w:lineRule="exact"/>
        <w:rPr>
          <w:sz w:val="20"/>
          <w:szCs w:val="20"/>
          <w:color w:val="auto"/>
        </w:rPr>
      </w:pPr>
    </w:p>
    <w:p>
      <w:pPr>
        <w:ind w:right="40" w:firstLine="479"/>
        <w:spacing w:after="0" w:line="268" w:lineRule="auto"/>
        <w:rPr>
          <w:sz w:val="20"/>
          <w:szCs w:val="20"/>
          <w:color w:val="auto"/>
        </w:rPr>
      </w:pPr>
      <w:r>
        <w:rPr>
          <w:rFonts w:ascii="Arial" w:cs="Arial" w:eastAsia="Arial" w:hAnsi="Arial"/>
          <w:sz w:val="17"/>
          <w:szCs w:val="17"/>
          <w:color w:val="auto"/>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spacing w:after="0" w:line="75" w:lineRule="exact"/>
        <w:rPr>
          <w:sz w:val="20"/>
          <w:szCs w:val="20"/>
          <w:color w:val="auto"/>
        </w:rPr>
      </w:pPr>
    </w:p>
    <w:p>
      <w:pPr>
        <w:ind w:right="240" w:firstLine="479"/>
        <w:spacing w:after="0" w:line="256" w:lineRule="auto"/>
        <w:rPr>
          <w:sz w:val="20"/>
          <w:szCs w:val="20"/>
          <w:color w:val="auto"/>
        </w:rPr>
      </w:pPr>
      <w:r>
        <w:rPr>
          <w:rFonts w:ascii="Arial" w:cs="Arial" w:eastAsia="Arial" w:hAnsi="Arial"/>
          <w:sz w:val="18"/>
          <w:szCs w:val="18"/>
          <w:color w:val="auto"/>
        </w:rPr>
        <w:t>Operational and performance issues with our platform could also result in negative publicity, damage to our brand and reputation, loss of or delay in market acceptance of our platform, increased costs or loss of revenue, the obligation to issue credits, loss of the ability to access our platform, loss of competitive position or claims by customers for losses sustained by them. Alleviating</w:t>
      </w:r>
    </w:p>
    <w:p>
      <w:pPr>
        <w:spacing w:after="0" w:line="200" w:lineRule="exact"/>
        <w:rPr>
          <w:sz w:val="20"/>
          <w:szCs w:val="20"/>
          <w:color w:val="auto"/>
        </w:rPr>
      </w:pPr>
    </w:p>
    <w:p>
      <w:pPr>
        <w:spacing w:after="0" w:line="20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25" w:right="339" w:bottom="1440" w:gutter="0" w:footer="0" w:header="0"/>
        </w:sectPr>
      </w:pPr>
    </w:p>
    <w:bookmarkStart w:id="49" w:name="page50"/>
    <w:bookmarkEnd w:id="49"/>
    <w:p>
      <w:pPr>
        <w:spacing w:after="0" w:line="266" w:lineRule="auto"/>
        <w:rPr>
          <w:sz w:val="20"/>
          <w:szCs w:val="20"/>
          <w:color w:val="auto"/>
        </w:rPr>
      </w:pPr>
      <w:r>
        <w:rPr>
          <w:rFonts w:ascii="Arial" w:cs="Arial" w:eastAsia="Arial" w:hAnsi="Arial"/>
          <w:sz w:val="18"/>
          <w:szCs w:val="18"/>
          <w:color w:val="auto"/>
        </w:rPr>
        <w:t>problems resulting from such issues could require significant expenditures of capital and other resources and could cause interruptions, delays or the cessation of our business, any of which may adversely affect our operating results and financial condition.</w:t>
      </w:r>
    </w:p>
    <w:p>
      <w:pPr>
        <w:spacing w:after="0" w:line="180"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i w:val="1"/>
          <w:iCs w:val="1"/>
          <w:color w:val="auto"/>
        </w:rPr>
        <w:t>We are dependent on the continued availability of third-party hosting and transmission services. Operational issues with, or changes to the costs of, our third-party data center providers could harm our business, reputation or results of operations.</w:t>
      </w:r>
    </w:p>
    <w:p>
      <w:pPr>
        <w:spacing w:after="0" w:line="74" w:lineRule="exact"/>
        <w:rPr>
          <w:sz w:val="20"/>
          <w:szCs w:val="20"/>
          <w:color w:val="auto"/>
        </w:rPr>
      </w:pPr>
    </w:p>
    <w:p>
      <w:pPr>
        <w:ind w:right="240" w:firstLine="479"/>
        <w:spacing w:after="0" w:line="288" w:lineRule="auto"/>
        <w:rPr>
          <w:sz w:val="20"/>
          <w:szCs w:val="20"/>
          <w:color w:val="auto"/>
        </w:rPr>
      </w:pPr>
      <w:r>
        <w:rPr>
          <w:rFonts w:ascii="Arial" w:cs="Arial" w:eastAsia="Arial" w:hAnsi="Arial"/>
          <w:sz w:val="16"/>
          <w:szCs w:val="16"/>
          <w:color w:val="auto"/>
        </w:rPr>
        <w:t>We currently serve our platform functions from third-party data center hosting facilities operated by Google Cloud Platform and Amazon Web Services, and we primarily use shared servers in such facilities. We are dependent on these third parties to provide continuous power, cooling, humidity control, internet connectivity and physical and technological security for our servers, and our operations depend, in part, on their ability to protect these facilities against any damage or interruption from natural disasters, such as earthquakes and hurricanes,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60" w:lineRule="exact"/>
        <w:rPr>
          <w:sz w:val="20"/>
          <w:szCs w:val="20"/>
          <w:color w:val="auto"/>
        </w:rPr>
      </w:pPr>
    </w:p>
    <w:p>
      <w:pPr>
        <w:ind w:right="100" w:firstLine="479"/>
        <w:spacing w:after="0" w:line="288" w:lineRule="auto"/>
        <w:rPr>
          <w:sz w:val="20"/>
          <w:szCs w:val="20"/>
          <w:color w:val="auto"/>
        </w:rPr>
      </w:pPr>
      <w:r>
        <w:rPr>
          <w:rFonts w:ascii="Arial" w:cs="Arial" w:eastAsia="Arial" w:hAnsi="Arial"/>
          <w:sz w:val="16"/>
          <w:szCs w:val="16"/>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spacing w:after="0" w:line="60" w:lineRule="exact"/>
        <w:rPr>
          <w:sz w:val="20"/>
          <w:szCs w:val="20"/>
          <w:color w:val="auto"/>
        </w:rPr>
      </w:pPr>
    </w:p>
    <w:p>
      <w:pPr>
        <w:jc w:val="both"/>
        <w:ind w:right="360" w:firstLine="479"/>
        <w:spacing w:after="0" w:line="256" w:lineRule="auto"/>
        <w:rPr>
          <w:sz w:val="20"/>
          <w:szCs w:val="20"/>
          <w:color w:val="auto"/>
        </w:rPr>
      </w:pPr>
      <w:r>
        <w:rPr>
          <w:rFonts w:ascii="Arial" w:cs="Arial" w:eastAsia="Arial" w:hAnsi="Arial"/>
          <w:sz w:val="18"/>
          <w:szCs w:val="18"/>
          <w:color w:val="auto"/>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spacing w:after="0" w:line="190"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i w:val="1"/>
          <w:iCs w:val="1"/>
          <w:color w:val="auto"/>
        </w:rPr>
        <w:t>If the non-proprietary technology, software, products and services that we use are unavailable, have future terms we cannot agree to, or do not perform as we expect, our business, operating results and financial condition could be harmed.</w:t>
      </w:r>
    </w:p>
    <w:p>
      <w:pPr>
        <w:spacing w:after="0" w:line="74" w:lineRule="exact"/>
        <w:rPr>
          <w:sz w:val="20"/>
          <w:szCs w:val="20"/>
          <w:color w:val="auto"/>
        </w:rPr>
      </w:pPr>
    </w:p>
    <w:p>
      <w:pPr>
        <w:ind w:right="140" w:firstLine="479"/>
        <w:spacing w:after="0" w:line="250" w:lineRule="auto"/>
        <w:rPr>
          <w:sz w:val="20"/>
          <w:szCs w:val="20"/>
          <w:color w:val="auto"/>
        </w:rPr>
      </w:pPr>
      <w:r>
        <w:rPr>
          <w:rFonts w:ascii="Arial" w:cs="Arial" w:eastAsia="Arial" w:hAnsi="Arial"/>
          <w:sz w:val="18"/>
          <w:szCs w:val="18"/>
          <w:color w:val="auto"/>
        </w:rPr>
        <w:t>We depend on various third-party open source and proprietary technologies, software, products and services,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 and our business, operating results and financial condition could be harmed.</w:t>
      </w:r>
    </w:p>
    <w:p>
      <w:pPr>
        <w:spacing w:after="0" w:line="195"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i w:val="1"/>
          <w:iCs w:val="1"/>
          <w:color w:val="auto"/>
        </w:rPr>
        <w:t>Our failure to meet content and inventory standards and provide services that our customers and inventory suppliers trust, could harm our brand and reputation and negatively impact our business, operating results and financial condition.</w:t>
      </w:r>
    </w:p>
    <w:p>
      <w:pPr>
        <w:spacing w:after="0" w:line="74" w:lineRule="exact"/>
        <w:rPr>
          <w:sz w:val="20"/>
          <w:szCs w:val="20"/>
          <w:color w:val="auto"/>
        </w:rPr>
      </w:pPr>
    </w:p>
    <w:p>
      <w:pPr>
        <w:ind w:right="40" w:firstLine="479"/>
        <w:spacing w:after="0" w:line="281" w:lineRule="auto"/>
        <w:rPr>
          <w:sz w:val="20"/>
          <w:szCs w:val="20"/>
          <w:color w:val="auto"/>
        </w:rPr>
      </w:pPr>
      <w:r>
        <w:rPr>
          <w:rFonts w:ascii="Arial" w:cs="Arial" w:eastAsia="Arial" w:hAnsi="Arial"/>
          <w:sz w:val="16"/>
          <w:szCs w:val="16"/>
          <w:color w:val="auto"/>
        </w:rPr>
        <w:t>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and inventory suppliers.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may not be fully 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cause suppliers to decrease or terminate the inventory supplied to us or their relationship with us, or otherwise negatively impact our business, operating results and financial condition. In addition, we may terminate MSAs or IOs in the event clients violate our ad policies or other contract terms, which could harm our business, operating results and financial condition.</w:t>
      </w:r>
    </w:p>
    <w:p>
      <w:pPr>
        <w:spacing w:after="0" w:line="39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We face potential liability and harm to our business based on the human factor of inputting information into our platform.</w:t>
      </w:r>
    </w:p>
    <w:p>
      <w:pPr>
        <w:spacing w:after="0" w:line="112" w:lineRule="exact"/>
        <w:rPr>
          <w:sz w:val="20"/>
          <w:szCs w:val="20"/>
          <w:color w:val="auto"/>
        </w:rPr>
      </w:pPr>
    </w:p>
    <w:p>
      <w:pPr>
        <w:ind w:firstLine="479"/>
        <w:spacing w:after="0" w:line="249" w:lineRule="auto"/>
        <w:rPr>
          <w:sz w:val="20"/>
          <w:szCs w:val="20"/>
          <w:color w:val="auto"/>
        </w:rPr>
      </w:pPr>
      <w:r>
        <w:rPr>
          <w:rFonts w:ascii="Arial" w:cs="Arial" w:eastAsia="Arial" w:hAnsi="Arial"/>
          <w:sz w:val="18"/>
          <w:szCs w:val="18"/>
          <w:color w:val="auto"/>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accidentally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acquisitions, strategic investments or alliances could disrupt our business and harm our business, operating results and financial condition.</w:t>
      </w:r>
    </w:p>
    <w:p>
      <w:pPr>
        <w:spacing w:after="0" w:line="158" w:lineRule="exact"/>
        <w:rPr>
          <w:sz w:val="20"/>
          <w:szCs w:val="20"/>
          <w:color w:val="auto"/>
        </w:rPr>
      </w:pPr>
    </w:p>
    <w:p>
      <w:pPr>
        <w:ind w:right="20" w:firstLine="479"/>
        <w:spacing w:after="0" w:line="282" w:lineRule="auto"/>
        <w:rPr>
          <w:sz w:val="20"/>
          <w:szCs w:val="20"/>
          <w:color w:val="auto"/>
        </w:rPr>
      </w:pPr>
      <w:r>
        <w:rPr>
          <w:rFonts w:ascii="Arial" w:cs="Arial" w:eastAsia="Arial" w:hAnsi="Arial"/>
          <w:sz w:val="16"/>
          <w:szCs w:val="16"/>
          <w:color w:val="auto"/>
        </w:rPr>
        <w:t>We have acquired businesses and technologies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We have no present commitments or agreements to enter into any such acquisitions or make any such investments. However,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actual or threatened litigation, privacy or cybersecurity issues or employee or customer issues.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not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spacing w:after="0" w:line="68" w:lineRule="exact"/>
        <w:rPr>
          <w:sz w:val="20"/>
          <w:szCs w:val="20"/>
          <w:color w:val="auto"/>
        </w:rPr>
      </w:pPr>
    </w:p>
    <w:p>
      <w:pPr>
        <w:ind w:left="960" w:hanging="47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hurdles;</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anticipated benefits to materialize;</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12" w:lineRule="exact"/>
        <w:rPr>
          <w:rFonts w:ascii="Arial" w:cs="Arial" w:eastAsia="Arial" w:hAnsi="Arial"/>
          <w:sz w:val="18"/>
          <w:szCs w:val="18"/>
          <w:color w:val="auto"/>
        </w:rPr>
      </w:pPr>
    </w:p>
    <w:p>
      <w:pPr>
        <w:ind w:left="960" w:right="20" w:hanging="474"/>
        <w:spacing w:after="0" w:line="266"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73" w:lineRule="exact"/>
        <w:rPr>
          <w:rFonts w:ascii="Arial" w:cs="Arial" w:eastAsia="Arial" w:hAnsi="Arial"/>
          <w:sz w:val="18"/>
          <w:szCs w:val="18"/>
          <w:color w:val="auto"/>
        </w:rPr>
      </w:pPr>
    </w:p>
    <w:p>
      <w:pPr>
        <w:ind w:left="960" w:hanging="47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coordination of product development and sales and marketing functions;</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known and unknown liabilities;</w:t>
      </w:r>
    </w:p>
    <w:p>
      <w:pPr>
        <w:spacing w:after="0" w:line="112" w:lineRule="exact"/>
        <w:rPr>
          <w:rFonts w:ascii="Arial" w:cs="Arial" w:eastAsia="Arial" w:hAnsi="Arial"/>
          <w:sz w:val="18"/>
          <w:szCs w:val="18"/>
          <w:color w:val="auto"/>
        </w:rPr>
      </w:pPr>
    </w:p>
    <w:p>
      <w:pPr>
        <w:ind w:left="960" w:right="180" w:hanging="474"/>
        <w:spacing w:after="0" w:line="266"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former stockholders or other third parties; and</w:t>
      </w:r>
    </w:p>
    <w:p>
      <w:pPr>
        <w:spacing w:after="0" w:line="73" w:lineRule="exact"/>
        <w:rPr>
          <w:rFonts w:ascii="Arial" w:cs="Arial" w:eastAsia="Arial" w:hAnsi="Arial"/>
          <w:sz w:val="18"/>
          <w:szCs w:val="18"/>
          <w:color w:val="auto"/>
        </w:rPr>
      </w:pPr>
    </w:p>
    <w:p>
      <w:pPr>
        <w:ind w:left="960" w:hanging="47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reception to an acquisition by clients, suppliers, vendors, or investors.</w:t>
      </w:r>
    </w:p>
    <w:p>
      <w:pPr>
        <w:spacing w:after="0" w:line="112" w:lineRule="exact"/>
        <w:rPr>
          <w:sz w:val="20"/>
          <w:szCs w:val="20"/>
          <w:color w:val="auto"/>
        </w:rPr>
      </w:pPr>
    </w:p>
    <w:p>
      <w:pPr>
        <w:ind w:right="40" w:firstLine="479"/>
        <w:spacing w:after="0" w:line="253" w:lineRule="auto"/>
        <w:rPr>
          <w:sz w:val="20"/>
          <w:szCs w:val="20"/>
          <w:color w:val="auto"/>
        </w:rPr>
      </w:pPr>
      <w:r>
        <w:rPr>
          <w:rFonts w:ascii="Arial" w:cs="Arial" w:eastAsia="Arial" w:hAnsi="Arial"/>
          <w:sz w:val="18"/>
          <w:szCs w:val="18"/>
          <w:color w:val="auto"/>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or the impairment of goodwill, any of which could harm our business, operating results and financial condition.</w:t>
      </w:r>
    </w:p>
    <w:p>
      <w:pPr>
        <w:spacing w:after="0" w:line="19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including Tim Vanderhook and Chris Vanderhook, and our ability to attract, hire, retain and motivate highly skilled employees in the future.</w:t>
      </w:r>
    </w:p>
    <w:p>
      <w:pPr>
        <w:spacing w:after="0" w:line="74" w:lineRule="exact"/>
        <w:rPr>
          <w:sz w:val="20"/>
          <w:szCs w:val="20"/>
          <w:color w:val="auto"/>
        </w:rPr>
      </w:pPr>
    </w:p>
    <w:p>
      <w:pPr>
        <w:ind w:right="20" w:firstLine="479"/>
        <w:spacing w:after="0" w:line="256" w:lineRule="auto"/>
        <w:rPr>
          <w:sz w:val="20"/>
          <w:szCs w:val="20"/>
          <w:color w:val="auto"/>
        </w:rPr>
      </w:pPr>
      <w:r>
        <w:rPr>
          <w:rFonts w:ascii="Arial" w:cs="Arial" w:eastAsia="Arial" w:hAnsi="Arial"/>
          <w:sz w:val="18"/>
          <w:szCs w:val="18"/>
          <w:color w:val="auto"/>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w:t>
      </w: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25" w:right="339" w:bottom="1440" w:gutter="0" w:footer="0" w:header="0"/>
        </w:sectPr>
      </w:pPr>
    </w:p>
    <w:bookmarkStart w:id="51" w:name="page52"/>
    <w:bookmarkEnd w:id="51"/>
    <w:p>
      <w:pPr>
        <w:ind w:right="200"/>
        <w:spacing w:after="0" w:line="266" w:lineRule="auto"/>
        <w:rPr>
          <w:sz w:val="20"/>
          <w:szCs w:val="20"/>
          <w:color w:val="auto"/>
        </w:rPr>
      </w:pPr>
      <w:r>
        <w:rPr>
          <w:rFonts w:ascii="Arial" w:cs="Arial" w:eastAsia="Arial" w:hAnsi="Arial"/>
          <w:sz w:val="18"/>
          <w:szCs w:val="18"/>
          <w:color w:val="auto"/>
        </w:rPr>
        <w:t>instrumental to our ability to attract and retain new talent. We also rely on employees in our engineering, technical, product development, support and sales teams to attract and retain key customers.</w:t>
      </w:r>
    </w:p>
    <w:p>
      <w:pPr>
        <w:spacing w:after="0" w:line="74" w:lineRule="exact"/>
        <w:rPr>
          <w:sz w:val="20"/>
          <w:szCs w:val="20"/>
          <w:color w:val="auto"/>
        </w:rPr>
      </w:pPr>
    </w:p>
    <w:p>
      <w:pPr>
        <w:ind w:right="100" w:firstLine="479"/>
        <w:spacing w:after="0" w:line="250" w:lineRule="auto"/>
        <w:rPr>
          <w:sz w:val="20"/>
          <w:szCs w:val="20"/>
          <w:color w:val="auto"/>
        </w:rPr>
      </w:pPr>
      <w:r>
        <w:rPr>
          <w:rFonts w:ascii="Arial" w:cs="Arial" w:eastAsia="Arial" w:hAnsi="Arial"/>
          <w:sz w:val="18"/>
          <w:szCs w:val="18"/>
          <w:color w:val="auto"/>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spacing w:after="0" w:line="88" w:lineRule="exact"/>
        <w:rPr>
          <w:sz w:val="20"/>
          <w:szCs w:val="20"/>
          <w:color w:val="auto"/>
        </w:rPr>
      </w:pPr>
    </w:p>
    <w:p>
      <w:pPr>
        <w:ind w:firstLine="479"/>
        <w:spacing w:after="0" w:line="253" w:lineRule="auto"/>
        <w:rPr>
          <w:sz w:val="20"/>
          <w:szCs w:val="20"/>
          <w:color w:val="auto"/>
        </w:rPr>
      </w:pPr>
      <w:r>
        <w:rPr>
          <w:rFonts w:ascii="Arial" w:cs="Arial" w:eastAsia="Arial" w:hAnsi="Arial"/>
          <w:sz w:val="18"/>
          <w:szCs w:val="18"/>
          <w:color w:val="auto"/>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Tim Vanderhook and Chris Vanderhook, or our inability to attract and retain highly skilled employees could have an adverse effect on our business,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liabilities arising out of our ownership and operation of Myspace.com.</w:t>
      </w:r>
    </w:p>
    <w:p>
      <w:pPr>
        <w:spacing w:after="0" w:line="112" w:lineRule="exact"/>
        <w:rPr>
          <w:sz w:val="20"/>
          <w:szCs w:val="20"/>
          <w:color w:val="auto"/>
        </w:rPr>
      </w:pPr>
    </w:p>
    <w:p>
      <w:pPr>
        <w:ind w:right="40" w:firstLine="479"/>
        <w:spacing w:after="0" w:line="264" w:lineRule="auto"/>
        <w:rPr>
          <w:sz w:val="20"/>
          <w:szCs w:val="20"/>
          <w:color w:val="auto"/>
        </w:rPr>
      </w:pPr>
      <w:r>
        <w:rPr>
          <w:rFonts w:ascii="Arial" w:cs="Arial" w:eastAsia="Arial" w:hAnsi="Arial"/>
          <w:sz w:val="17"/>
          <w:szCs w:val="17"/>
          <w:color w:val="auto"/>
        </w:rPr>
        <w:t>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("EU")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or if courts begin to interpret this law more narrowly than they have historically done. We could incur significant costs investigating and defending claims related to content published or made available on Myspace.com and, if we are found liable, could face significant damages.</w:t>
      </w:r>
    </w:p>
    <w:p>
      <w:pPr>
        <w:spacing w:after="0" w:line="82" w:lineRule="exact"/>
        <w:rPr>
          <w:sz w:val="20"/>
          <w:szCs w:val="20"/>
          <w:color w:val="auto"/>
        </w:rPr>
      </w:pPr>
    </w:p>
    <w:p>
      <w:pPr>
        <w:ind w:right="60" w:firstLine="479"/>
        <w:spacing w:after="0" w:line="250" w:lineRule="auto"/>
        <w:rPr>
          <w:sz w:val="20"/>
          <w:szCs w:val="20"/>
          <w:color w:val="auto"/>
        </w:rPr>
      </w:pPr>
      <w:r>
        <w:rPr>
          <w:rFonts w:ascii="Arial" w:cs="Arial" w:eastAsia="Arial" w:hAnsi="Arial"/>
          <w:sz w:val="18"/>
          <w:szCs w:val="18"/>
          <w:color w:val="auto"/>
        </w:rPr>
        <w:t>In late 2011, shortly after we acquired Myspace LLC, the Federal Trade Commission (“FTC”) initiated an investigation of the entity relating to certain of its historical privacy practices in place between 2008 and 2010. In 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 mandates Myspace LLC establish a comprehensive privacy program designed to protect consumers’ information, and to obtain biennial assessments of its privacy program by independent, third-party auditors for 20 years. The order terminates in August 2032.</w:t>
      </w:r>
    </w:p>
    <w:p>
      <w:pPr>
        <w:spacing w:after="0" w:line="91" w:lineRule="exact"/>
        <w:rPr>
          <w:sz w:val="20"/>
          <w:szCs w:val="20"/>
          <w:color w:val="auto"/>
        </w:rPr>
      </w:pPr>
    </w:p>
    <w:p>
      <w:pPr>
        <w:ind w:firstLine="479"/>
        <w:spacing w:after="0" w:line="256" w:lineRule="auto"/>
        <w:rPr>
          <w:sz w:val="20"/>
          <w:szCs w:val="20"/>
          <w:color w:val="auto"/>
        </w:rPr>
      </w:pPr>
      <w:r>
        <w:rPr>
          <w:rFonts w:ascii="Arial" w:cs="Arial" w:eastAsia="Arial" w:hAnsi="Arial"/>
          <w:sz w:val="18"/>
          <w:szCs w:val="18"/>
          <w:color w:val="auto"/>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spacing w:after="0" w:line="83" w:lineRule="exact"/>
        <w:rPr>
          <w:sz w:val="20"/>
          <w:szCs w:val="20"/>
          <w:color w:val="auto"/>
        </w:rPr>
      </w:pPr>
    </w:p>
    <w:p>
      <w:pPr>
        <w:ind w:right="120" w:firstLine="479"/>
        <w:spacing w:after="0" w:line="267" w:lineRule="auto"/>
        <w:rPr>
          <w:sz w:val="20"/>
          <w:szCs w:val="20"/>
          <w:color w:val="auto"/>
        </w:rPr>
      </w:pPr>
      <w:r>
        <w:rPr>
          <w:rFonts w:ascii="Arial" w:cs="Arial" w:eastAsia="Arial" w:hAnsi="Arial"/>
          <w:sz w:val="17"/>
          <w:szCs w:val="17"/>
          <w:color w:val="auto"/>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including notifying and invalidating the passwords of known affected users, any present failure to prevent or mitigate security breaches and 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spacing w:after="0" w:line="75" w:lineRule="exact"/>
        <w:rPr>
          <w:sz w:val="20"/>
          <w:szCs w:val="20"/>
          <w:color w:val="auto"/>
        </w:rPr>
      </w:pPr>
    </w:p>
    <w:p>
      <w:pPr>
        <w:ind w:right="160" w:firstLine="479"/>
        <w:spacing w:after="0" w:line="270" w:lineRule="auto"/>
        <w:rPr>
          <w:sz w:val="20"/>
          <w:szCs w:val="20"/>
          <w:color w:val="auto"/>
        </w:rPr>
      </w:pPr>
      <w:r>
        <w:rPr>
          <w:rFonts w:ascii="Arial" w:cs="Arial" w:eastAsia="Arial" w:hAnsi="Arial"/>
          <w:sz w:val="17"/>
          <w:szCs w:val="17"/>
          <w:color w:val="auto"/>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 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spacing w:after="0" w:line="39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i w:val="1"/>
          <w:iCs w:val="1"/>
          <w:color w:val="auto"/>
        </w:rPr>
        <w:t>The market in which we participate is intensely competitive, and we may not be able to compete successfully with our current or future competitors.</w:t>
      </w:r>
    </w:p>
    <w:p>
      <w:pPr>
        <w:spacing w:after="0" w:line="158" w:lineRule="exact"/>
        <w:rPr>
          <w:sz w:val="20"/>
          <w:szCs w:val="20"/>
          <w:color w:val="auto"/>
        </w:rPr>
      </w:pPr>
    </w:p>
    <w:p>
      <w:pPr>
        <w:ind w:firstLine="479"/>
        <w:spacing w:after="0" w:line="295" w:lineRule="auto"/>
        <w:rPr>
          <w:sz w:val="20"/>
          <w:szCs w:val="20"/>
          <w:color w:val="auto"/>
        </w:rPr>
      </w:pPr>
      <w:r>
        <w:rPr>
          <w:rFonts w:ascii="Arial" w:cs="Arial" w:eastAsia="Arial" w:hAnsi="Arial"/>
          <w:sz w:val="16"/>
          <w:szCs w:val="16"/>
          <w:color w:val="auto"/>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Furthermore, our brand promotion activities may not yield any increased revenue, and even if they do, any increased revenue may not offset the expenses we incurred in building our brand.</w:t>
      </w:r>
    </w:p>
    <w:p>
      <w:pPr>
        <w:spacing w:after="0" w:line="54" w:lineRule="exact"/>
        <w:rPr>
          <w:sz w:val="20"/>
          <w:szCs w:val="20"/>
          <w:color w:val="auto"/>
        </w:rPr>
      </w:pPr>
    </w:p>
    <w:p>
      <w:pPr>
        <w:ind w:firstLine="479"/>
        <w:spacing w:after="0" w:line="281" w:lineRule="auto"/>
        <w:rPr>
          <w:sz w:val="20"/>
          <w:szCs w:val="20"/>
          <w:color w:val="auto"/>
        </w:rPr>
      </w:pPr>
      <w:r>
        <w:rPr>
          <w:rFonts w:ascii="Arial" w:cs="Arial" w:eastAsia="Arial" w:hAnsi="Arial"/>
          <w:sz w:val="16"/>
          <w:szCs w:val="16"/>
          <w:color w:val="auto"/>
        </w:rPr>
        <w:t>We compete with large privately-held companies such as Yahoo DSP, with public companies such as The Trade Desk, and with divisions of large, well-established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As a result, these competitors may be better able to respond quickly to new technologies, develop deeper marketer relationships or offer services at lower prices.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spacing w:after="0" w:line="70" w:lineRule="exact"/>
        <w:rPr>
          <w:sz w:val="20"/>
          <w:szCs w:val="20"/>
          <w:color w:val="auto"/>
        </w:rPr>
      </w:pPr>
    </w:p>
    <w:p>
      <w:pPr>
        <w:ind w:firstLine="479"/>
        <w:spacing w:after="0" w:line="253" w:lineRule="auto"/>
        <w:rPr>
          <w:sz w:val="20"/>
          <w:szCs w:val="20"/>
          <w:color w:val="auto"/>
        </w:rPr>
      </w:pPr>
      <w:r>
        <w:rPr>
          <w:rFonts w:ascii="Arial" w:cs="Arial" w:eastAsia="Arial" w:hAnsi="Arial"/>
          <w:sz w:val="18"/>
          <w:szCs w:val="18"/>
          <w:color w:val="auto"/>
        </w:rPr>
        <w:t>In addition, we derive a significant portion of our revenue from advertising in the desktop and mobile and connected TV channels, which are rapidly evolving, highly competitive, complex and fragmented. We face significant competition in these markets which we expect will intensify in the future. While fewer of our competitors currently have capability in other channels such as linear TV, in-game streaming audio and digital billboard channels, we also expect to face additional competition in those channels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Data Privacy</w:t>
      </w:r>
    </w:p>
    <w:p>
      <w:pPr>
        <w:spacing w:after="0" w:line="225" w:lineRule="exact"/>
        <w:rPr>
          <w:sz w:val="20"/>
          <w:szCs w:val="20"/>
          <w:color w:val="auto"/>
        </w:rPr>
      </w:pPr>
    </w:p>
    <w:p>
      <w:pPr>
        <w:spacing w:after="0" w:line="348" w:lineRule="auto"/>
        <w:rPr>
          <w:sz w:val="20"/>
          <w:szCs w:val="20"/>
          <w:color w:val="auto"/>
        </w:rPr>
      </w:pPr>
      <w:r>
        <w:rPr>
          <w:rFonts w:ascii="Arial" w:cs="Arial" w:eastAsia="Arial" w:hAnsi="Arial"/>
          <w:sz w:val="14"/>
          <w:szCs w:val="14"/>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customers or sales, revenue declines, increase the cost of data, reduce the availability of data, reduce our ability to utilize or disclose data, adversely affect the demand for our products and services, or other adverse business consequences.</w:t>
      </w:r>
    </w:p>
    <w:p>
      <w:pPr>
        <w:spacing w:after="0" w:line="25" w:lineRule="exact"/>
        <w:rPr>
          <w:sz w:val="20"/>
          <w:szCs w:val="20"/>
          <w:color w:val="auto"/>
        </w:rPr>
      </w:pPr>
    </w:p>
    <w:p>
      <w:pPr>
        <w:ind w:right="80" w:firstLine="479"/>
        <w:spacing w:after="0" w:line="251" w:lineRule="auto"/>
        <w:rPr>
          <w:sz w:val="20"/>
          <w:szCs w:val="20"/>
          <w:color w:val="auto"/>
        </w:rPr>
      </w:pPr>
      <w:r>
        <w:rPr>
          <w:rFonts w:ascii="Arial" w:cs="Arial" w:eastAsia="Arial" w:hAnsi="Arial"/>
          <w:sz w:val="18"/>
          <w:szCs w:val="18"/>
          <w:color w:val="auto"/>
        </w:rPr>
        <w:t>We collect, store, use, transmit, disclose, or otherwise process (collectively, "Process") personal information and other sensitive data such as confidential business data, trade secrets, and intellectual property, from and about our customers, employees, service providers, and other third parties. Our handling of this data may be subject to a wide variety of federal, state, local, and foreign laws regulations, guidance, industry standards, external and internal privacy and security policies, certifications, documents, contracts, and other obligations that govern the Processing of personal information by us and on our behalf.</w:t>
      </w:r>
    </w:p>
    <w:p>
      <w:pPr>
        <w:spacing w:after="0" w:line="89" w:lineRule="exact"/>
        <w:rPr>
          <w:sz w:val="20"/>
          <w:szCs w:val="20"/>
          <w:color w:val="auto"/>
        </w:rPr>
      </w:pPr>
    </w:p>
    <w:p>
      <w:pPr>
        <w:ind w:right="200" w:firstLine="479"/>
        <w:spacing w:after="0" w:line="253" w:lineRule="auto"/>
        <w:rPr>
          <w:sz w:val="20"/>
          <w:szCs w:val="20"/>
          <w:color w:val="auto"/>
        </w:rPr>
      </w:pPr>
      <w:r>
        <w:rPr>
          <w:rFonts w:ascii="Arial" w:cs="Arial" w:eastAsia="Arial" w:hAnsi="Arial"/>
          <w:sz w:val="18"/>
          <w:szCs w:val="18"/>
          <w:color w:val="auto"/>
        </w:rPr>
        <w:t>U.S. federal, state, and local governments, and foreign governments have adopted or proposed numerous laws relating to the Processing of personal information relating to individuals and households, including contact information and other data for marketing, advertising and other communications with individuals and businesses. The legal landscape for data privacy issues worldwide is complex, continually evolving and often conflicting, and is likely to remain uncertain for the foreseeable future.</w:t>
      </w:r>
    </w:p>
    <w:p>
      <w:pPr>
        <w:spacing w:after="0" w:line="86" w:lineRule="exact"/>
        <w:rPr>
          <w:sz w:val="20"/>
          <w:szCs w:val="20"/>
          <w:color w:val="auto"/>
        </w:rPr>
      </w:pPr>
    </w:p>
    <w:p>
      <w:pPr>
        <w:ind w:right="100" w:firstLine="479"/>
        <w:spacing w:after="0" w:line="285" w:lineRule="auto"/>
        <w:rPr>
          <w:sz w:val="20"/>
          <w:szCs w:val="20"/>
          <w:color w:val="auto"/>
        </w:rPr>
      </w:pPr>
      <w:r>
        <w:rPr>
          <w:rFonts w:ascii="Arial" w:cs="Arial" w:eastAsia="Arial" w:hAnsi="Arial"/>
          <w:sz w:val="16"/>
          <w:szCs w:val="16"/>
          <w:color w:val="auto"/>
        </w:rPr>
        <w:t>In the United States, various laws and regulations apply to the Processing of personal information. For example, U.S. federal and state legislatures, along with regulatory authorities, have recently increased their focus on the collection and use of personal information, including relating to “interest-based” or “targeted” advertising. As an example, California enacted the CCPA, which requires covered businesses to, among other things, provide disclosures to California consumers and grant California consumers a right to opt-out of “sales” of personal information, a concept that is broadly defined. The CPRA, which came into effect on January 1, 2023, expands the CCPA by, among other things, providing consumers with a right to opt-out of “sharing” of personal information with third parties, requiring additional protections for sensitive personal information, creating new data subject rights, creating a new state rulemaking and enforcement agency for the CPRA, expanding potential liability for violations and giving consumers rights to opt out of additional forms of data sharing with third parties. Other states have enacted data privacy laws, such as Virginia, Colorado,</w:t>
      </w:r>
    </w:p>
    <w:p>
      <w:pPr>
        <w:spacing w:after="0" w:line="38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325" w:right="359" w:bottom="1440" w:gutter="0" w:footer="0" w:header="0"/>
        </w:sectPr>
      </w:pPr>
    </w:p>
    <w:bookmarkStart w:id="53" w:name="page54"/>
    <w:bookmarkEnd w:id="53"/>
    <w:p>
      <w:pPr>
        <w:ind w:right="60"/>
        <w:spacing w:after="0" w:line="256" w:lineRule="auto"/>
        <w:rPr>
          <w:sz w:val="20"/>
          <w:szCs w:val="20"/>
          <w:color w:val="auto"/>
        </w:rPr>
      </w:pPr>
      <w:r>
        <w:rPr>
          <w:rFonts w:ascii="Arial" w:cs="Arial" w:eastAsia="Arial" w:hAnsi="Arial"/>
          <w:sz w:val="18"/>
          <w:szCs w:val="18"/>
          <w:color w:val="auto"/>
        </w:rPr>
        <w:t>Utah, and Connecticut, which also address “interest-based” or “targeted” advertising. In addition, other comprehensive data privacy and security laws have been proposed at the federal, state, and local levels in recent years, which could lead to a varied and complex regulatory landscape and further complicate our compliance efforts.</w:t>
      </w:r>
    </w:p>
    <w:p>
      <w:pPr>
        <w:spacing w:after="0" w:line="83" w:lineRule="exact"/>
        <w:rPr>
          <w:sz w:val="20"/>
          <w:szCs w:val="20"/>
          <w:color w:val="auto"/>
        </w:rPr>
      </w:pPr>
    </w:p>
    <w:p>
      <w:pPr>
        <w:ind w:firstLine="479"/>
        <w:spacing w:after="0" w:line="285" w:lineRule="auto"/>
        <w:rPr>
          <w:sz w:val="20"/>
          <w:szCs w:val="20"/>
          <w:color w:val="auto"/>
        </w:rPr>
      </w:pPr>
      <w:r>
        <w:rPr>
          <w:rFonts w:ascii="Arial" w:cs="Arial" w:eastAsia="Arial" w:hAnsi="Arial"/>
          <w:sz w:val="16"/>
          <w:szCs w:val="16"/>
          <w:color w:val="auto"/>
        </w:rPr>
        <w:t>Outside the United States, certain laws, regulations, and industry standards may apply to our data privacy and security practices. For example, the EU’s General Data Protection Regulation (“EU GDPR”) and the United Kingdom’s GDPR (“UK GDPR”) (collectively “GDPR”) imposes strict requirements applicable to certain Processing of European personal information, respectively, in the European Economic Area (“EEA”) and the United Kingdom (“UK”). The applicability analysis under the GDPR is complex, but if we were deemed to operate our business in a manner subject to GDPR, the GDPR provides for significant penalties for noncompliance of up to the greater of €20 million under the EU GDPR / 17.5 million pounds sterling under the UK GDPR, or, in each case, 4% of an enterprise’s global turnover (or revenue) for the preceding fiscal year. Companies that violate the GDPR can also face prohibitions on data processing and other corrective action, such as class action brought by classes of data subjects or by consumer protection organizations authorized at law to represent their interests. Additionally, Member States may assess other penalties for noncompliance on companies subject to GDPR.</w:t>
      </w:r>
    </w:p>
    <w:p>
      <w:pPr>
        <w:spacing w:after="0" w:line="63" w:lineRule="exact"/>
        <w:rPr>
          <w:sz w:val="20"/>
          <w:szCs w:val="20"/>
          <w:color w:val="auto"/>
        </w:rPr>
      </w:pPr>
    </w:p>
    <w:p>
      <w:pPr>
        <w:ind w:right="60" w:firstLine="479"/>
        <w:spacing w:after="0" w:line="256" w:lineRule="auto"/>
        <w:rPr>
          <w:sz w:val="20"/>
          <w:szCs w:val="20"/>
          <w:color w:val="auto"/>
        </w:rPr>
      </w:pPr>
      <w:r>
        <w:rPr>
          <w:rFonts w:ascii="Arial" w:cs="Arial" w:eastAsia="Arial" w:hAnsi="Arial"/>
          <w:sz w:val="18"/>
          <w:szCs w:val="18"/>
          <w:color w:val="auto"/>
        </w:rPr>
        <w:t>Additionally, several European legislative proposals could significantly affect our business. For example, the ePrivacy Regulation, which would repeal that European Union Directive 2002/58/EC (ePrivacy Directive), could impose new obligations or limitations in areas affecting our business, notably with respect to the use of cookies.</w:t>
      </w:r>
    </w:p>
    <w:p>
      <w:pPr>
        <w:spacing w:after="0" w:line="83" w:lineRule="exact"/>
        <w:rPr>
          <w:sz w:val="20"/>
          <w:szCs w:val="20"/>
          <w:color w:val="auto"/>
        </w:rPr>
      </w:pPr>
    </w:p>
    <w:p>
      <w:pPr>
        <w:ind w:right="160" w:firstLine="479"/>
        <w:spacing w:after="0" w:line="253" w:lineRule="auto"/>
        <w:rPr>
          <w:sz w:val="20"/>
          <w:szCs w:val="20"/>
          <w:color w:val="auto"/>
        </w:rPr>
      </w:pPr>
      <w:r>
        <w:rPr>
          <w:rFonts w:ascii="Arial" w:cs="Arial" w:eastAsia="Arial" w:hAnsi="Arial"/>
          <w:sz w:val="18"/>
          <w:szCs w:val="18"/>
          <w:color w:val="auto"/>
        </w:rPr>
        <w:t>We may have to change our business practices to comply with such obligations. These changes to the regulatory landscape, coupled with EU and UK regulators’ increasing focus on compliance with requirements related to the online behavioral advertising ecosystem could, limit the ability to obtain data through integrations with data suppliers, divert the attention of our technology personnel, adversely affect our margins, subject us to liabilities, and may require us to make significant operational changes.</w:t>
      </w:r>
    </w:p>
    <w:p>
      <w:pPr>
        <w:spacing w:after="0" w:line="86" w:lineRule="exact"/>
        <w:rPr>
          <w:sz w:val="20"/>
          <w:szCs w:val="20"/>
          <w:color w:val="auto"/>
        </w:rPr>
      </w:pPr>
    </w:p>
    <w:p>
      <w:pPr>
        <w:ind w:right="80" w:firstLine="479"/>
        <w:spacing w:after="0" w:line="268" w:lineRule="auto"/>
        <w:rPr>
          <w:sz w:val="20"/>
          <w:szCs w:val="20"/>
          <w:color w:val="auto"/>
        </w:rPr>
      </w:pPr>
      <w:r>
        <w:rPr>
          <w:rFonts w:ascii="Arial" w:cs="Arial" w:eastAsia="Arial" w:hAnsi="Arial"/>
          <w:sz w:val="17"/>
          <w:szCs w:val="17"/>
          <w:color w:val="auto"/>
        </w:rPr>
        <w:t>Furthermore, we may be unable to transfer personal data from Europe and other jurisdictions to the United States or other countries due to data localization requirements or limitations on cross-border transfers of personal information. In particular, the EEA and UK have significantly restricted the transfer of personal data to countries outside of the EEA.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these mechanisms are subject to legal challenges, and there is no assurance that companies can satisfy or rely on these measures to lawfully transfer personal data to the United States.</w:t>
      </w:r>
    </w:p>
    <w:p>
      <w:pPr>
        <w:spacing w:after="0" w:line="75" w:lineRule="exact"/>
        <w:rPr>
          <w:sz w:val="20"/>
          <w:szCs w:val="20"/>
          <w:color w:val="auto"/>
        </w:rPr>
      </w:pPr>
    </w:p>
    <w:p>
      <w:pPr>
        <w:ind w:right="100" w:firstLine="479"/>
        <w:spacing w:after="0" w:line="286" w:lineRule="auto"/>
        <w:rPr>
          <w:sz w:val="20"/>
          <w:szCs w:val="20"/>
          <w:color w:val="auto"/>
        </w:rPr>
      </w:pPr>
      <w:r>
        <w:rPr>
          <w:rFonts w:ascii="Arial" w:cs="Arial" w:eastAsia="Arial" w:hAnsi="Arial"/>
          <w:sz w:val="16"/>
          <w:szCs w:val="16"/>
          <w:color w:val="auto"/>
        </w:rPr>
        <w:t>If there is no lawful manner for us to transfer personal data from the EEA, the UK or other jurisdictions to the United States, or if the requirements for a legally-compliant transfer are too onerous, we may face increased exposure to regulatory actions, substantial fines, and injunctions against Processing or transferring personal information from Europe or elsewhere. For example, some European regulators have ordered certain companies to suspend or permanently cease transfers of personal data out of Europe for allegedly violating the GDPR’s cross-border data transfer limitations. The inability to import personal information to the United States could significantly and negatively impact our business operations, including by limiting our ability to collaborate with parties that are subject to European and other data privacy and security laws, limiting our ability to obtain inventory or data from suppliers operating in Europe, or requiring us to increase our personal information processing capabilities and infrastructure in Europe and/or elsewhere at significant expense.</w:t>
      </w:r>
    </w:p>
    <w:p>
      <w:pPr>
        <w:spacing w:after="0" w:line="63" w:lineRule="exact"/>
        <w:rPr>
          <w:sz w:val="20"/>
          <w:szCs w:val="20"/>
          <w:color w:val="auto"/>
        </w:rPr>
      </w:pPr>
    </w:p>
    <w:p>
      <w:pPr>
        <w:ind w:right="40" w:firstLine="479"/>
        <w:spacing w:after="0" w:line="281" w:lineRule="auto"/>
        <w:rPr>
          <w:sz w:val="20"/>
          <w:szCs w:val="20"/>
          <w:color w:val="auto"/>
        </w:rPr>
      </w:pPr>
      <w:r>
        <w:rPr>
          <w:rFonts w:ascii="Arial" w:cs="Arial" w:eastAsia="Arial" w:hAnsi="Arial"/>
          <w:sz w:val="16"/>
          <w:szCs w:val="16"/>
          <w:color w:val="auto"/>
        </w:rPr>
        <w:t>Additionally, our employees and personnel use generative artificial intelligence technologies to perform their work, and such usage may be subject to various privacy laws and other privacy obligations. The disclosure and use of personal information in generative AI technologies is subject to various privacy laws and other privacy obligations, and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 In addition, privacy advocates and industry groups have proposed, and may propose in the future, industry standards with which we are legally or contractually bound to comply. Additionally, we may make statements about our data Processing practices and our compliance with, or our ability to facilitate our customers’ compliance with, these standards. For example, we have committed to comply, and generally require our customers and the third parties upon which we rely to comply, with applicable self-regulatory principles, such as the Network Advertising Initiative’s Code of Conduct and the Digital Advertising Alliance’s Self-Regulatory Principles for Online Behavioral Advertising. These self-regulatory bodies impose additional requirements related to the Processing of personal information, such as providing notice about our use of cookies and other technologies. Some of these self-regulatory bodies can discipline members, which could result in fines, penalties, and/or public censure. Additionally, some of these self-regulatory bodies might refer violations of their requirements to the Federal Trade Commission or other regulatory bodies. See “—</w:t>
      </w:r>
      <w:r>
        <w:rPr>
          <w:rFonts w:ascii="Arial" w:cs="Arial" w:eastAsia="Arial" w:hAnsi="Arial"/>
          <w:sz w:val="16"/>
          <w:szCs w:val="16"/>
          <w:i w:val="1"/>
          <w:iCs w:val="1"/>
          <w:color w:val="auto"/>
        </w:rPr>
        <w:t>Our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or ability to operate our platform could be impacted by changes in the technology industry by technology companies, end users, or government regulation. Such developments, including the restriction of “third-party cookies,” could cause instability in the advertising technology industry</w:t>
      </w:r>
      <w:r>
        <w:rPr>
          <w:rFonts w:ascii="Arial" w:cs="Arial" w:eastAsia="Arial" w:hAnsi="Arial"/>
          <w:sz w:val="16"/>
          <w:szCs w:val="16"/>
          <w:color w:val="auto"/>
        </w:rPr>
        <w:t>.”</w:t>
      </w:r>
    </w:p>
    <w:p>
      <w:pPr>
        <w:spacing w:after="0" w:line="72" w:lineRule="exact"/>
        <w:rPr>
          <w:sz w:val="20"/>
          <w:szCs w:val="20"/>
          <w:color w:val="auto"/>
        </w:rPr>
      </w:pPr>
    </w:p>
    <w:p>
      <w:pPr>
        <w:ind w:right="340" w:firstLine="479"/>
        <w:spacing w:after="0" w:line="266" w:lineRule="auto"/>
        <w:rPr>
          <w:sz w:val="20"/>
          <w:szCs w:val="20"/>
          <w:color w:val="auto"/>
        </w:rPr>
      </w:pPr>
      <w:r>
        <w:rPr>
          <w:rFonts w:ascii="Arial" w:cs="Arial" w:eastAsia="Arial" w:hAnsi="Arial"/>
          <w:sz w:val="18"/>
          <w:szCs w:val="18"/>
          <w:color w:val="auto"/>
        </w:rPr>
        <w:t>Similarly, there has been increasing global scrutiny over online political advertising, and online political advertising laws are rapidly evolving. For example, publishers of online content have imposed varying prohibitions and restrictions on the types and</w:t>
      </w:r>
    </w:p>
    <w:p>
      <w:pPr>
        <w:spacing w:after="0" w:line="39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54" w:name="page55"/>
    <w:bookmarkEnd w:id="54"/>
    <w:p>
      <w:pPr>
        <w:ind w:right="660"/>
        <w:spacing w:after="0" w:line="266" w:lineRule="auto"/>
        <w:rPr>
          <w:sz w:val="20"/>
          <w:szCs w:val="20"/>
          <w:color w:val="auto"/>
        </w:rPr>
      </w:pPr>
      <w:r>
        <w:rPr>
          <w:rFonts w:ascii="Arial" w:cs="Arial" w:eastAsia="Arial" w:hAnsi="Arial"/>
          <w:sz w:val="18"/>
          <w:szCs w:val="18"/>
          <w:color w:val="auto"/>
        </w:rPr>
        <w:t>breadth of political advertising allowed on their platforms. The lack of uniformity and increasing requirements for transparency and disclosure could adversely impact the demand for political advertising services and increase our operating and compliance costs.</w:t>
      </w:r>
    </w:p>
    <w:p>
      <w:pPr>
        <w:spacing w:after="0" w:line="74" w:lineRule="exact"/>
        <w:rPr>
          <w:sz w:val="20"/>
          <w:szCs w:val="20"/>
          <w:color w:val="auto"/>
        </w:rPr>
      </w:pPr>
    </w:p>
    <w:p>
      <w:pPr>
        <w:ind w:right="60" w:firstLine="479"/>
        <w:spacing w:after="0" w:line="333" w:lineRule="auto"/>
        <w:rPr>
          <w:sz w:val="20"/>
          <w:szCs w:val="20"/>
          <w:color w:val="auto"/>
        </w:rPr>
      </w:pPr>
      <w:r>
        <w:rPr>
          <w:rFonts w:ascii="Arial" w:cs="Arial" w:eastAsia="Arial" w:hAnsi="Arial"/>
          <w:sz w:val="14"/>
          <w:szCs w:val="14"/>
          <w:color w:val="auto"/>
        </w:rPr>
        <w:t>Because the interpretation and application of privacy and data protection laws, regulations and standards are uncertain and quickly changing, it is possible that these obligations may be interpreted and applied in manners that are, or are asserted to be, inconsistent with our practices. Preparing for and complying with these obligations requires significant resources. 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 fundamentally change our business activities, information technologies, systems, and practices, and to those of any third parties that Process personal information on our behalf.</w:t>
      </w:r>
    </w:p>
    <w:p>
      <w:pPr>
        <w:spacing w:after="0" w:line="34" w:lineRule="exact"/>
        <w:rPr>
          <w:sz w:val="20"/>
          <w:szCs w:val="20"/>
          <w:color w:val="auto"/>
        </w:rPr>
      </w:pPr>
    </w:p>
    <w:p>
      <w:pPr>
        <w:ind w:firstLine="479"/>
        <w:spacing w:after="0" w:line="265" w:lineRule="auto"/>
        <w:rPr>
          <w:sz w:val="20"/>
          <w:szCs w:val="20"/>
          <w:color w:val="auto"/>
        </w:rPr>
      </w:pPr>
      <w:r>
        <w:rPr>
          <w:rFonts w:ascii="Arial" w:cs="Arial" w:eastAsia="Arial" w:hAnsi="Arial"/>
          <w:sz w:val="17"/>
          <w:szCs w:val="17"/>
          <w:color w:val="auto"/>
        </w:rPr>
        <w:t>Although we endeavor to comply with all applicable data privacy and security obligations, we may at times fail or be perceived to have failed to do so.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and orders to destroy or not use personal information. Any of these events could have a material adverse effect on our reputation, business, or financial condition, including but not limited to: loss of customers; additional costs and liabilities; damage our reputation; reduction in sales and demand for our platform; and harm our business.</w:t>
      </w:r>
    </w:p>
    <w:p>
      <w:pPr>
        <w:spacing w:after="0" w:line="78" w:lineRule="exact"/>
        <w:rPr>
          <w:sz w:val="20"/>
          <w:szCs w:val="20"/>
          <w:color w:val="auto"/>
        </w:rPr>
      </w:pPr>
    </w:p>
    <w:p>
      <w:pPr>
        <w:ind w:firstLine="479"/>
        <w:spacing w:after="0" w:line="268" w:lineRule="auto"/>
        <w:rPr>
          <w:sz w:val="20"/>
          <w:szCs w:val="20"/>
          <w:color w:val="auto"/>
        </w:rPr>
      </w:pPr>
      <w:r>
        <w:rPr>
          <w:rFonts w:ascii="Arial" w:cs="Arial" w:eastAsia="Arial" w:hAnsi="Arial"/>
          <w:sz w:val="17"/>
          <w:szCs w:val="17"/>
          <w:color w:val="auto"/>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Arial" w:cs="Arial" w:eastAsia="Arial" w:hAnsi="Arial"/>
          <w:sz w:val="17"/>
          <w:szCs w:val="17"/>
          <w:i w:val="1"/>
          <w:iCs w:val="1"/>
          <w:color w:val="auto"/>
        </w:rPr>
        <w:t>We face liabilities arising out of our ownership and operation of Myspace.com</w:t>
      </w:r>
      <w:r>
        <w:rPr>
          <w:rFonts w:ascii="Arial" w:cs="Arial" w:eastAsia="Arial" w:hAnsi="Arial"/>
          <w:sz w:val="17"/>
          <w:szCs w:val="17"/>
          <w:color w:val="auto"/>
        </w:rPr>
        <w:t>.” Additionally, advocacy organizations have also filed complaints with data protection authorities against advertising technology companies, arguing that certain of these companies’ practices do not comply with the EU GDPR and/or the UK GDPR. It is possible that investigations or enforcement actions will involve our practices or practices similar to ours and we could be subject to similar investigations or enforcement actions in the future.</w:t>
      </w:r>
    </w:p>
    <w:p>
      <w:pPr>
        <w:spacing w:after="0" w:line="75" w:lineRule="exact"/>
        <w:rPr>
          <w:sz w:val="20"/>
          <w:szCs w:val="20"/>
          <w:color w:val="auto"/>
        </w:rPr>
      </w:pPr>
    </w:p>
    <w:p>
      <w:pPr>
        <w:jc w:val="both"/>
        <w:ind w:right="140" w:firstLine="479"/>
        <w:spacing w:after="0" w:line="256" w:lineRule="auto"/>
        <w:rPr>
          <w:sz w:val="20"/>
          <w:szCs w:val="20"/>
          <w:color w:val="auto"/>
        </w:rPr>
      </w:pPr>
      <w:r>
        <w:rPr>
          <w:rFonts w:ascii="Arial" w:cs="Arial" w:eastAsia="Arial" w:hAnsi="Arial"/>
          <w:sz w:val="18"/>
          <w:szCs w:val="18"/>
          <w:color w:val="auto"/>
        </w:rPr>
        <w:t>In particular, plaintiffs have become increasingly more active in bringing privacy-related claims against companies, including class claims and mass arbitration demands. Some of these claims allow for the recovery of statutory damages on a per violation basis; if viable, these claims carry the potential for monumental statutory damages, depending on the volume of data and the number of violations.</w:t>
      </w:r>
    </w:p>
    <w:p>
      <w:pPr>
        <w:spacing w:after="0" w:line="190"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b w:val="1"/>
          <w:bCs w:val="1"/>
          <w:i w:val="1"/>
          <w:iCs w:val="1"/>
          <w:color w:val="auto"/>
        </w:rPr>
        <w:t>Our business or ability to operate our platform could be impacted by changes in the technology industry by technology companies, end users, or government regulation. Such developments, including the restriction of “third-party cookies,” could cause instability in the advertising technology industry.</w:t>
      </w:r>
    </w:p>
    <w:p>
      <w:pPr>
        <w:spacing w:after="0" w:line="83" w:lineRule="exact"/>
        <w:rPr>
          <w:sz w:val="20"/>
          <w:szCs w:val="20"/>
          <w:color w:val="auto"/>
        </w:rPr>
      </w:pPr>
    </w:p>
    <w:p>
      <w:pPr>
        <w:ind w:firstLine="479"/>
        <w:spacing w:after="0" w:line="265" w:lineRule="auto"/>
        <w:rPr>
          <w:sz w:val="20"/>
          <w:szCs w:val="20"/>
          <w:color w:val="auto"/>
        </w:rPr>
      </w:pPr>
      <w:r>
        <w:rPr>
          <w:rFonts w:ascii="Arial" w:cs="Arial" w:eastAsia="Arial" w:hAnsi="Arial"/>
          <w:sz w:val="17"/>
          <w:szCs w:val="17"/>
          <w:color w:val="auto"/>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or quality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81" w:lineRule="exact"/>
        <w:rPr>
          <w:sz w:val="20"/>
          <w:szCs w:val="20"/>
          <w:color w:val="auto"/>
        </w:rPr>
      </w:pPr>
    </w:p>
    <w:p>
      <w:pPr>
        <w:ind w:right="20" w:firstLine="479"/>
        <w:spacing w:after="0" w:line="285" w:lineRule="auto"/>
        <w:rPr>
          <w:sz w:val="20"/>
          <w:szCs w:val="20"/>
          <w:color w:val="auto"/>
        </w:rPr>
      </w:pPr>
      <w:r>
        <w:rPr>
          <w:rFonts w:ascii="Arial" w:cs="Arial" w:eastAsia="Arial" w:hAnsi="Arial"/>
          <w:sz w:val="16"/>
          <w:szCs w:val="16"/>
          <w:color w:val="auto"/>
        </w:rPr>
        <w:t>For example, browser providers have recently enacted changes restricting the use of third-party cookies in their browsers, which may cause instability in the digital advertising market. Execution and measurement in digital advertising relies to a significant extent on the use of cookies, pixels and other similar technology, including mobile device identifiers that are provided by mobile operating systems for advertising purposes, which we refer to collectively as cookies, to collect data about users and devices. Although our business is less reliant on cookies than some of our competitors because we do not need cookies for marketers and their advertising agencies to identify consumers with our identity resolution capabilities and identity graph, we do use third-party cookies. Third-party cookies are cookies owned and used by parties other than the owners of the website visited by the internet user, in connection with our business for execution of obtaining information about consumers, and for delivering digital advertising. Apple introduced an iOS update in April 2021 that requires users to opt-in to tracking of their activity across devices. Google has also</w:t>
      </w:r>
    </w:p>
    <w:p>
      <w:pPr>
        <w:spacing w:after="0" w:line="38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55" w:name="page56"/>
    <w:bookmarkEnd w:id="55"/>
    <w:p>
      <w:pPr>
        <w:ind w:right="40"/>
        <w:spacing w:after="0" w:line="288" w:lineRule="auto"/>
        <w:rPr>
          <w:sz w:val="20"/>
          <w:szCs w:val="20"/>
          <w:color w:val="auto"/>
        </w:rPr>
      </w:pPr>
      <w:r>
        <w:rPr>
          <w:rFonts w:ascii="Arial" w:cs="Arial" w:eastAsia="Arial" w:hAnsi="Arial"/>
          <w:sz w:val="16"/>
          <w:szCs w:val="16"/>
          <w:color w:val="auto"/>
        </w:rPr>
        <w:t>introduced ad blocking software in its Chrome web browser that will block certain ads based on quality standards established under a multi-stakeholder coalition. Additionally, the Safari browser currently blocks third-party cookies by default and has recently added controls that algorithmically block or limit some cookies.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providers may frequently delay or change their previously announced operations or policies. For example, in June 2021, Google announced that it would delay its timeline of blocking third-party cookies by 2022 until 2023, and in 2022 further indicated that it will not begin blocking cookies until early 2024.</w:t>
      </w:r>
    </w:p>
    <w:p>
      <w:pPr>
        <w:spacing w:after="0" w:line="60" w:lineRule="exact"/>
        <w:rPr>
          <w:sz w:val="20"/>
          <w:szCs w:val="20"/>
          <w:color w:val="auto"/>
        </w:rPr>
      </w:pPr>
    </w:p>
    <w:p>
      <w:pPr>
        <w:ind w:right="180" w:firstLine="479"/>
        <w:spacing w:after="0" w:line="250" w:lineRule="auto"/>
        <w:rPr>
          <w:sz w:val="20"/>
          <w:szCs w:val="20"/>
          <w:color w:val="auto"/>
        </w:rPr>
      </w:pPr>
      <w:r>
        <w:rPr>
          <w:rFonts w:ascii="Arial" w:cs="Arial" w:eastAsia="Arial" w:hAnsi="Arial"/>
          <w:sz w:val="18"/>
          <w:szCs w:val="18"/>
          <w:color w:val="auto"/>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Privacy aspects of other channels for programmatic advertising, such as connected TVs or over-the-top video, are still developing. Technical or policy changes, including regulation or industry self-regulation, could harm our growth in those channels.</w:t>
      </w:r>
    </w:p>
    <w:p>
      <w:pPr>
        <w:spacing w:after="0" w:line="91" w:lineRule="exact"/>
        <w:rPr>
          <w:sz w:val="20"/>
          <w:szCs w:val="20"/>
          <w:color w:val="auto"/>
        </w:rPr>
      </w:pPr>
    </w:p>
    <w:p>
      <w:pPr>
        <w:ind w:right="20" w:firstLine="479"/>
        <w:spacing w:after="0" w:line="264" w:lineRule="auto"/>
        <w:rPr>
          <w:sz w:val="20"/>
          <w:szCs w:val="20"/>
          <w:color w:val="auto"/>
        </w:rPr>
      </w:pPr>
      <w:r>
        <w:rPr>
          <w:rFonts w:ascii="Arial" w:cs="Arial" w:eastAsia="Arial" w:hAnsi="Arial"/>
          <w:sz w:val="17"/>
          <w:szCs w:val="17"/>
          <w:color w:val="auto"/>
        </w:rPr>
        <w:t>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and privacy advocates have raised significant concerns around observed data. There has been an array of ‘do-not-track’ efforts, suggestions and technologies introduced to address these concerns, and individuals are increasingly aware of these options. For example, EU and UK regulators are increasingly focusing on compliance with requirements related to the behavioral, interest-based, or tailored advertising ecosystem. It is anticipated that the ePrivacy Regulation and national implementing laws will replace the current national laws implementing the ePrivacy Directive. Compliance with these laws may require us to make significant operational changes, limit the effectiveness of our activities, divert the attention of our technology personnel, adversely affect our margins, and subject us to liabilities. Outside of Europe, other laws further regulate behavioral, interest-based, or tailored advertising, making certain online advertising activities more difficult and subject to additional scrutiny. For example, the CCPA grants California residents the right to opt-out of a company’s sharing of personal data for advertising purposes in exchange for money or other valuable consideration and requires covered companies to treat signals from any user-enabled global privacy control the same as a request to opt out of the sale or sharing of personal information. However, the regulatory and self-regulatory landscape remains inherently uncertain, and there is no consensus definition of tracking, nor agreement on what would be covered by ‘do-not-track’ or similar functionalities. There is activity by the major internet browsers to default turn on ‘do-not-track’ functionality, including by Safari and Firefox. It is not clear if other internet browsers will follow.</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Limitations on our or our customers’ ability to collect and use data for advertising, whether imposed by established technology companies or U.S.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legislation, or otherwise, may impact the performance of our platform.</w:t>
      </w:r>
    </w:p>
    <w:p>
      <w:pPr>
        <w:spacing w:after="0" w:line="208" w:lineRule="exact"/>
        <w:rPr>
          <w:sz w:val="20"/>
          <w:szCs w:val="20"/>
          <w:color w:val="auto"/>
        </w:rPr>
      </w:pPr>
    </w:p>
    <w:p>
      <w:pPr>
        <w:ind w:right="260"/>
        <w:spacing w:after="0" w:line="330" w:lineRule="auto"/>
        <w:rPr>
          <w:sz w:val="20"/>
          <w:szCs w:val="20"/>
          <w:color w:val="auto"/>
        </w:rPr>
      </w:pPr>
      <w:r>
        <w:rPr>
          <w:rFonts w:ascii="Arial" w:cs="Arial" w:eastAsia="Arial" w:hAnsi="Arial"/>
          <w:sz w:val="16"/>
          <w:szCs w:val="16"/>
          <w:b w:val="1"/>
          <w:bCs w:val="1"/>
          <w:i w:val="1"/>
          <w:iCs w:val="1"/>
          <w:color w:val="auto"/>
        </w:rPr>
        <w:t>A significant inadvertent disclosure or breach of our information technology systems or data, or of the security of our or our customers’, suppliers’, or other third parties’ upon which we rely could be detrimental to our business, reputation and results of operations.</w:t>
      </w:r>
    </w:p>
    <w:p>
      <w:pPr>
        <w:spacing w:after="0" w:line="27" w:lineRule="exact"/>
        <w:rPr>
          <w:sz w:val="20"/>
          <w:szCs w:val="20"/>
          <w:color w:val="auto"/>
        </w:rPr>
      </w:pPr>
    </w:p>
    <w:p>
      <w:pPr>
        <w:ind w:right="340" w:firstLine="479"/>
        <w:spacing w:after="0" w:line="266" w:lineRule="auto"/>
        <w:rPr>
          <w:sz w:val="20"/>
          <w:szCs w:val="20"/>
          <w:color w:val="auto"/>
        </w:rPr>
      </w:pPr>
      <w:r>
        <w:rPr>
          <w:rFonts w:ascii="Arial" w:cs="Arial" w:eastAsia="Arial" w:hAnsi="Arial"/>
          <w:sz w:val="18"/>
          <w:szCs w:val="18"/>
          <w:color w:val="auto"/>
        </w:rPr>
        <w:t>Our business requires the processing of proprietary, confidential, and sensitive data, including personal information, intellectual property and trade secrets.</w:t>
      </w:r>
    </w:p>
    <w:p>
      <w:pPr>
        <w:spacing w:after="0" w:line="74" w:lineRule="exact"/>
        <w:rPr>
          <w:sz w:val="20"/>
          <w:szCs w:val="20"/>
          <w:color w:val="auto"/>
        </w:rPr>
      </w:pPr>
    </w:p>
    <w:p>
      <w:pPr>
        <w:ind w:firstLine="479"/>
        <w:spacing w:after="0" w:line="282" w:lineRule="auto"/>
        <w:rPr>
          <w:sz w:val="20"/>
          <w:szCs w:val="20"/>
          <w:color w:val="auto"/>
        </w:rPr>
      </w:pPr>
      <w:r>
        <w:rPr>
          <w:rFonts w:ascii="Arial" w:cs="Arial" w:eastAsia="Arial" w:hAnsi="Arial"/>
          <w:sz w:val="16"/>
          <w:szCs w:val="16"/>
          <w:color w:val="auto"/>
        </w:rPr>
        <w:t>Our data processing activities have made, and may in the future make, us and the third parties upon which we rely a target of cyber-attacks, malicious internet-based activity, online and offline fraud, and other similar activities by third parties. We and the third parties upon which we rely face a variety of evolving threats, which could cause security breaches. In recent years, the frequency, severity and sophistication of cyber-attacks and other intentional misconduct has significantly increased, and these threats are becoming increasingly difficult to detect. These threats come from a variety of sources, including traditional computer hackers, threat actors, and personnel (such as through theft or misuse). We and the third parties upon which we rely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 Threat actors, nation-states, and nation-state-supported actors now engage, and are expected to continue to engage, in cyber-attacks, including for geopolitical reasons and in connection with military conflicts and operations. During times of war and other major conflicts, we and the third parties upon which we rely may be vulnerable to heightened risk of these attacks, including cyber-attacks that could materially disrupt our systems and operations, supply chain, and ability to conduct our business.</w:t>
      </w:r>
    </w:p>
    <w:p>
      <w:pPr>
        <w:spacing w:after="0" w:line="65" w:lineRule="exact"/>
        <w:rPr>
          <w:sz w:val="20"/>
          <w:szCs w:val="20"/>
          <w:color w:val="auto"/>
        </w:rPr>
      </w:pPr>
    </w:p>
    <w:p>
      <w:pPr>
        <w:ind w:right="580" w:firstLine="479"/>
        <w:spacing w:after="0" w:line="266" w:lineRule="auto"/>
        <w:rPr>
          <w:sz w:val="20"/>
          <w:szCs w:val="20"/>
          <w:color w:val="auto"/>
        </w:rPr>
      </w:pPr>
      <w:r>
        <w:rPr>
          <w:rFonts w:ascii="Arial" w:cs="Arial" w:eastAsia="Arial" w:hAnsi="Arial"/>
          <w:sz w:val="18"/>
          <w:szCs w:val="18"/>
          <w:color w:val="auto"/>
        </w:rPr>
        <w:t>Ransomware attacks are becoming increasingly prevalent and severe and can lead to significant interruptions in our operations, loss of data and income, reputational harm, and diversion of funds. Extortion payments may alleviate the negative impact of a</w:t>
      </w:r>
    </w:p>
    <w:p>
      <w:pPr>
        <w:spacing w:after="0" w:line="39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ransomware attack, but we may be unwilling or unable to make such payments due to, for example, applicable laws or regulations prohibiting such payments.</w:t>
      </w:r>
    </w:p>
    <w:p>
      <w:pPr>
        <w:spacing w:after="0" w:line="135" w:lineRule="exact"/>
        <w:rPr>
          <w:sz w:val="20"/>
          <w:szCs w:val="20"/>
          <w:color w:val="auto"/>
        </w:rPr>
      </w:pPr>
    </w:p>
    <w:p>
      <w:pPr>
        <w:ind w:firstLine="479"/>
        <w:spacing w:after="0" w:line="265" w:lineRule="auto"/>
        <w:rPr>
          <w:sz w:val="20"/>
          <w:szCs w:val="20"/>
          <w:color w:val="auto"/>
        </w:rPr>
      </w:pPr>
      <w:r>
        <w:rPr>
          <w:rFonts w:ascii="Arial" w:cs="Arial" w:eastAsia="Arial" w:hAnsi="Arial"/>
          <w:sz w:val="17"/>
          <w:szCs w:val="17"/>
          <w:color w:val="auto"/>
        </w:rPr>
        <w:t>We rely upon third party service providers and technologies to operate critical business systems to process such data, including, without limitation, third-party providers of cloud-based infrastructure such as Google Cloud Platform and Amazon Web Services, employee email, and other functions. We may share or receive sensitive data with or from third parties. Our ability to monitor these third parties’ security practices is limited, and these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Similarly, supply-chain attacks have increased in frequency and severity, and third parties and infrastructure in our supply chain or our third-party partners’ supply chains may become compromised or contain exploitable defects or bugs that could result in a breach of or disruption to our information technology systems (including our products/services) or the third-party information technology systems that support us and our services.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Future or past business transactions (such as acquisitions or integrations) could expose us to additional cybersecurity risks and vulnerabilities, as our</w:t>
      </w:r>
    </w:p>
    <w:p>
      <w:pPr>
        <w:spacing w:after="0" w:line="6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83" w:lineRule="exact"/>
        <w:rPr>
          <w:sz w:val="20"/>
          <w:szCs w:val="20"/>
          <w:color w:val="auto"/>
        </w:rPr>
      </w:pPr>
    </w:p>
    <w:p>
      <w:pPr>
        <w:ind w:right="340" w:firstLine="479"/>
        <w:spacing w:after="0" w:line="330" w:lineRule="auto"/>
        <w:rPr>
          <w:sz w:val="20"/>
          <w:szCs w:val="20"/>
          <w:color w:val="auto"/>
        </w:rPr>
      </w:pPr>
      <w:r>
        <w:rPr>
          <w:rFonts w:ascii="Arial" w:cs="Arial" w:eastAsia="Arial" w:hAnsi="Arial"/>
          <w:sz w:val="16"/>
          <w:szCs w:val="16"/>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27" w:lineRule="exact"/>
        <w:rPr>
          <w:sz w:val="20"/>
          <w:szCs w:val="20"/>
          <w:color w:val="auto"/>
        </w:rPr>
      </w:pPr>
    </w:p>
    <w:p>
      <w:pPr>
        <w:ind w:right="380" w:firstLine="479"/>
        <w:spacing w:after="0" w:line="330" w:lineRule="auto"/>
        <w:rPr>
          <w:sz w:val="20"/>
          <w:szCs w:val="20"/>
          <w:color w:val="auto"/>
        </w:rPr>
      </w:pPr>
      <w:r>
        <w:rPr>
          <w:rFonts w:ascii="Arial" w:cs="Arial" w:eastAsia="Arial" w:hAnsi="Arial"/>
          <w:sz w:val="16"/>
          <w:szCs w:val="16"/>
          <w:color w:val="auto"/>
        </w:rPr>
        <w:t>Any of the previously identified or similar threats, whether actual or perceived, could cause a security breach or other interruption, resulting in the unauthorized, unlawful, or accidental acquisition, disclosure, modification, misuse, destruction, disclosure of, encryption of, or loss of data.</w:t>
      </w:r>
    </w:p>
    <w:p>
      <w:pPr>
        <w:spacing w:after="0" w:line="27" w:lineRule="exact"/>
        <w:rPr>
          <w:sz w:val="20"/>
          <w:szCs w:val="20"/>
          <w:color w:val="auto"/>
        </w:rPr>
      </w:pPr>
    </w:p>
    <w:p>
      <w:pPr>
        <w:ind w:right="40" w:firstLine="479"/>
        <w:spacing w:after="0" w:line="285" w:lineRule="auto"/>
        <w:rPr>
          <w:sz w:val="20"/>
          <w:szCs w:val="20"/>
          <w:color w:val="auto"/>
        </w:rPr>
      </w:pPr>
      <w:r>
        <w:rPr>
          <w:rFonts w:ascii="Arial" w:cs="Arial" w:eastAsia="Arial" w:hAnsi="Arial"/>
          <w:sz w:val="16"/>
          <w:szCs w:val="16"/>
          <w:color w:val="auto"/>
        </w:rPr>
        <w:t>We may incur significant costs in protecting against such security breaches. Furthermore, certain data privacy and security obligations may require us to implement and maintain specific security measures. Although we have taken measures to protect our systems from such threats, these measures may not be effective. For example, in 2016, we discovered a breach of information from our Myspace databases resulting in the unauthorized access and offer for sale of approximately 360 million Myspace user account email addresses, usernames, and hashed passwords. See “—</w:t>
      </w:r>
      <w:r>
        <w:rPr>
          <w:rFonts w:ascii="Arial" w:cs="Arial" w:eastAsia="Arial" w:hAnsi="Arial"/>
          <w:sz w:val="16"/>
          <w:szCs w:val="16"/>
          <w:i w:val="1"/>
          <w:iCs w:val="1"/>
          <w:color w:val="auto"/>
        </w:rPr>
        <w:t>We face liabilities arising out of our ownership</w:t>
      </w:r>
      <w:r>
        <w:rPr>
          <w:rFonts w:ascii="Arial" w:cs="Arial" w:eastAsia="Arial" w:hAnsi="Arial"/>
          <w:sz w:val="16"/>
          <w:szCs w:val="16"/>
          <w:color w:val="auto"/>
        </w:rPr>
        <w:t xml:space="preserve"> </w:t>
      </w:r>
      <w:r>
        <w:rPr>
          <w:rFonts w:ascii="Arial" w:cs="Arial" w:eastAsia="Arial" w:hAnsi="Arial"/>
          <w:sz w:val="16"/>
          <w:szCs w:val="16"/>
          <w:i w:val="1"/>
          <w:iCs w:val="1"/>
          <w:color w:val="auto"/>
        </w:rPr>
        <w:t>and operation of Myspace.com.</w:t>
      </w:r>
      <w:r>
        <w:rPr>
          <w:rFonts w:ascii="Arial" w:cs="Arial" w:eastAsia="Arial" w:hAnsi="Arial"/>
          <w:sz w:val="16"/>
          <w:szCs w:val="16"/>
          <w:color w:val="auto"/>
        </w:rPr>
        <w:t>” We take steps to detect and remediate vulnerabilities but we may not be able to detect and remediate all vulnerabilities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63" w:lineRule="exact"/>
        <w:rPr>
          <w:sz w:val="20"/>
          <w:szCs w:val="20"/>
          <w:color w:val="auto"/>
        </w:rPr>
      </w:pPr>
    </w:p>
    <w:p>
      <w:pPr>
        <w:ind w:right="20" w:firstLine="479"/>
        <w:spacing w:after="0" w:line="270" w:lineRule="auto"/>
        <w:rPr>
          <w:sz w:val="20"/>
          <w:szCs w:val="20"/>
          <w:color w:val="auto"/>
        </w:rPr>
      </w:pPr>
      <w:r>
        <w:rPr>
          <w:rFonts w:ascii="Arial" w:cs="Arial" w:eastAsia="Arial" w:hAnsi="Arial"/>
          <w:sz w:val="17"/>
          <w:szCs w:val="17"/>
          <w:color w:val="auto"/>
        </w:rPr>
        <w:t>Any security breach of our or the third parties’ upon which we rely information technology systems or data could result in adverse consequences, including but not limited to litigation,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72" w:lineRule="exact"/>
        <w:rPr>
          <w:sz w:val="20"/>
          <w:szCs w:val="20"/>
          <w:color w:val="auto"/>
        </w:rPr>
      </w:pPr>
    </w:p>
    <w:p>
      <w:pPr>
        <w:ind w:firstLine="479"/>
        <w:spacing w:after="0" w:line="273" w:lineRule="auto"/>
        <w:rPr>
          <w:sz w:val="20"/>
          <w:szCs w:val="20"/>
          <w:color w:val="auto"/>
        </w:rPr>
      </w:pPr>
      <w:r>
        <w:rPr>
          <w:rFonts w:ascii="Arial" w:cs="Arial" w:eastAsia="Arial" w:hAnsi="Arial"/>
          <w:sz w:val="17"/>
          <w:szCs w:val="17"/>
          <w:color w:val="auto"/>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our insurance coverage may not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69" w:lineRule="exact"/>
        <w:rPr>
          <w:sz w:val="20"/>
          <w:szCs w:val="20"/>
          <w:color w:val="auto"/>
        </w:rPr>
      </w:pPr>
    </w:p>
    <w:p>
      <w:pPr>
        <w:ind w:right="160" w:firstLine="479"/>
        <w:spacing w:after="0" w:line="273" w:lineRule="auto"/>
        <w:rPr>
          <w:sz w:val="20"/>
          <w:szCs w:val="20"/>
          <w:color w:val="auto"/>
        </w:rPr>
      </w:pPr>
      <w:r>
        <w:rPr>
          <w:rFonts w:ascii="Arial" w:cs="Arial" w:eastAsia="Arial" w:hAnsi="Arial"/>
          <w:sz w:val="17"/>
          <w:szCs w:val="17"/>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confidential or proprietary information of the Company or our customers could be leaked, disclosed, or revealed as a result of or in connection with our employee’s, personnel’s, or vendor’s use of generative AI technologies.</w:t>
      </w:r>
    </w:p>
    <w:p>
      <w:pPr>
        <w:spacing w:after="0" w:line="38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i w:val="1"/>
          <w:iCs w:val="1"/>
          <w:color w:val="auto"/>
        </w:rPr>
        <w:t>Our proprietary rights may be difficult to enforce, which could enable others to copy or use aspects of our technology without compensating us, thereby eroding our competitive advantages and harming our business.</w:t>
      </w:r>
    </w:p>
    <w:p>
      <w:pPr>
        <w:spacing w:after="0" w:line="74" w:lineRule="exact"/>
        <w:rPr>
          <w:sz w:val="20"/>
          <w:szCs w:val="20"/>
          <w:color w:val="auto"/>
        </w:rPr>
      </w:pPr>
    </w:p>
    <w:p>
      <w:pPr>
        <w:ind w:firstLine="479"/>
        <w:spacing w:after="0" w:line="265" w:lineRule="auto"/>
        <w:rPr>
          <w:sz w:val="20"/>
          <w:szCs w:val="20"/>
          <w:color w:val="auto"/>
        </w:rPr>
      </w:pPr>
      <w:r>
        <w:rPr>
          <w:rFonts w:ascii="Arial" w:cs="Arial" w:eastAsia="Arial" w:hAnsi="Arial"/>
          <w:sz w:val="17"/>
          <w:szCs w:val="17"/>
          <w:color w:val="auto"/>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and the laws, procedures and restrictions may provide only limited protection.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spacing w:after="0" w:line="78" w:lineRule="exact"/>
        <w:rPr>
          <w:sz w:val="20"/>
          <w:szCs w:val="20"/>
          <w:color w:val="auto"/>
        </w:rPr>
      </w:pPr>
    </w:p>
    <w:p>
      <w:pPr>
        <w:ind w:right="140" w:firstLine="479"/>
        <w:spacing w:after="0" w:line="288" w:lineRule="auto"/>
        <w:rPr>
          <w:sz w:val="20"/>
          <w:szCs w:val="20"/>
          <w:color w:val="auto"/>
        </w:rPr>
      </w:pPr>
      <w:r>
        <w:rPr>
          <w:rFonts w:ascii="Arial" w:cs="Arial" w:eastAsia="Arial" w:hAnsi="Arial"/>
          <w:sz w:val="16"/>
          <w:szCs w:val="16"/>
          <w:color w:val="auto"/>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The scope of patent protection also can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spacing w:after="0" w:line="60" w:lineRule="exact"/>
        <w:rPr>
          <w:sz w:val="20"/>
          <w:szCs w:val="20"/>
          <w:color w:val="auto"/>
        </w:rPr>
      </w:pPr>
    </w:p>
    <w:p>
      <w:pPr>
        <w:ind w:right="20" w:firstLine="479"/>
        <w:spacing w:after="0" w:line="273" w:lineRule="auto"/>
        <w:rPr>
          <w:sz w:val="20"/>
          <w:szCs w:val="20"/>
          <w:color w:val="auto"/>
        </w:rPr>
      </w:pPr>
      <w:r>
        <w:rPr>
          <w:rFonts w:ascii="Arial" w:cs="Arial" w:eastAsia="Arial" w:hAnsi="Arial"/>
          <w:sz w:val="17"/>
          <w:szCs w:val="17"/>
          <w:color w:val="auto"/>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third party claims for alleged infringement of their proprietary rights, which would result in additional expense and potential damages.</w:t>
      </w:r>
    </w:p>
    <w:p>
      <w:pPr>
        <w:spacing w:after="0" w:line="158" w:lineRule="exact"/>
        <w:rPr>
          <w:sz w:val="20"/>
          <w:szCs w:val="20"/>
          <w:color w:val="auto"/>
        </w:rPr>
      </w:pPr>
    </w:p>
    <w:p>
      <w:pPr>
        <w:ind w:right="40" w:firstLine="479"/>
        <w:spacing w:after="0" w:line="263" w:lineRule="auto"/>
        <w:rPr>
          <w:sz w:val="20"/>
          <w:szCs w:val="20"/>
          <w:color w:val="auto"/>
        </w:rPr>
      </w:pPr>
      <w:r>
        <w:rPr>
          <w:rFonts w:ascii="Arial" w:cs="Arial" w:eastAsia="Arial" w:hAnsi="Arial"/>
          <w:sz w:val="17"/>
          <w:szCs w:val="17"/>
          <w:color w:val="auto"/>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In addition, various "non-practicing entities" that own patents and other intellectual property rights often attempt to aggressively assert their rights in order to extract value from technology companies. Furthermore, from time to time we may introduce or acquire new products, including in areas where we historically have not competed, which could increase our exposure to patent and other intellectual property claims from competitors and non-practicing entities. The cost settling or of defending against intellectual property claims, whether or not the claims have merit, is significant, regardless of whether we are successful in our defense, and could divert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and harm to our business based on the nature of our business and the content on our platform.</w:t>
      </w:r>
    </w:p>
    <w:p>
      <w:pPr>
        <w:spacing w:after="0" w:line="112" w:lineRule="exact"/>
        <w:rPr>
          <w:sz w:val="20"/>
          <w:szCs w:val="20"/>
          <w:color w:val="auto"/>
        </w:rPr>
      </w:pPr>
    </w:p>
    <w:p>
      <w:pPr>
        <w:ind w:right="20" w:firstLine="479"/>
        <w:spacing w:after="0" w:line="251" w:lineRule="auto"/>
        <w:rPr>
          <w:sz w:val="20"/>
          <w:szCs w:val="20"/>
          <w:color w:val="auto"/>
        </w:rPr>
      </w:pPr>
      <w:r>
        <w:rPr>
          <w:rFonts w:ascii="Arial" w:cs="Arial" w:eastAsia="Arial" w:hAnsi="Arial"/>
          <w:sz w:val="18"/>
          <w:szCs w:val="18"/>
          <w:color w:val="auto"/>
        </w:rPr>
        <w:t>Advertising often results in litigation relating to copyright or trademark infringement, public performance royalties or other claims based on the nature and content of advertising that is distributed through our platform. Though we contractually require clients to represent to us that they have the rights necessary to serve advertisements through our platform, we do not independently verify whether we are permitted to deliver, or review the content of, such advertisements. If any of these representations are untrue, we may be exposed to potential liability and our reputation may be damaged. While our customers are typically obligated to indemnify us,</w:t>
      </w:r>
    </w:p>
    <w:p>
      <w:pPr>
        <w:spacing w:after="0" w:line="200" w:lineRule="exact"/>
        <w:rPr>
          <w:sz w:val="20"/>
          <w:szCs w:val="20"/>
          <w:color w:val="auto"/>
        </w:rPr>
      </w:pPr>
    </w:p>
    <w:p>
      <w:pPr>
        <w:spacing w:after="0" w:line="20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319" w:right="379" w:bottom="1440" w:gutter="0" w:footer="0" w:header="0"/>
        </w:sectPr>
      </w:pPr>
    </w:p>
    <w:bookmarkStart w:id="58" w:name="page59"/>
    <w:bookmarkEnd w:id="58"/>
    <w:p>
      <w:pPr>
        <w:ind w:right="240"/>
        <w:spacing w:after="0" w:line="266" w:lineRule="auto"/>
        <w:rPr>
          <w:sz w:val="20"/>
          <w:szCs w:val="20"/>
          <w:color w:val="auto"/>
        </w:rPr>
      </w:pPr>
      <w:r>
        <w:rPr>
          <w:rFonts w:ascii="Arial" w:cs="Arial" w:eastAsia="Arial" w:hAnsi="Arial"/>
          <w:sz w:val="18"/>
          <w:szCs w:val="18"/>
          <w:color w:val="auto"/>
        </w:rPr>
        <w:t>such indemnification may not fully cover us, or we may not be able to collect. In addition to settlement costs, we may be responsible for our own litigation costs, which can be extensive.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 and Related Tax Matters</w:t>
      </w:r>
    </w:p>
    <w:p>
      <w:pPr>
        <w:spacing w:after="0" w:line="22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i w:val="1"/>
          <w:iCs w:val="1"/>
          <w:color w:val="auto"/>
        </w:rPr>
        <w:t>We depend on distributions from Viant Technology LLC to pay any dividends, if declared, taxes and other expenses, including payments under the Tax Receivable Agreement.</w:t>
      </w:r>
    </w:p>
    <w:p>
      <w:pPr>
        <w:spacing w:after="0" w:line="74" w:lineRule="exact"/>
        <w:rPr>
          <w:sz w:val="20"/>
          <w:szCs w:val="20"/>
          <w:color w:val="auto"/>
        </w:rPr>
      </w:pPr>
    </w:p>
    <w:p>
      <w:pPr>
        <w:ind w:firstLine="479"/>
        <w:spacing w:after="0" w:line="281" w:lineRule="auto"/>
        <w:rPr>
          <w:sz w:val="20"/>
          <w:szCs w:val="20"/>
          <w:color w:val="auto"/>
        </w:rPr>
      </w:pPr>
      <w:r>
        <w:rPr>
          <w:rFonts w:ascii="Arial" w:cs="Arial" w:eastAsia="Arial" w:hAnsi="Arial"/>
          <w:sz w:val="16"/>
          <w:szCs w:val="16"/>
          <w:color w:val="auto"/>
        </w:rPr>
        <w:t>Viant Technology Inc. is a holding company and its only business is to act as the managing member of Viant Technology LLC, and its only material assets are Class A units representing approximately 24.6% of the membership interests of Viant Technology LLC as of June 30, 2023. Viant Technology Inc. does not have any independent means of generating revenue. 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Viant Technology Inc. is required to pay income taxes on its allocable share of any net taxable income of Viant Technology LLC. We cause Viant Technology LLC to make distributions to each of its members, including Viant Technology Inc., in an amount intended to enable each member to pay all applicable taxes on taxable income allocable to such member and to allow Viant Technology Inc. to make payments under the Tax Receivable Agreement. In addition, Viant Technology LLC reimburses Viant Technology Inc. for corporate and other overhead expenses. If the amount of tax distributions to be made exceeds the amount of funds available for distribution, Viant Technology Inc. shall receive the full amount of its tax distribution before the other members receive any distribution and the balance, if any, of funds available for distribution shall be distributed to the other members pro rata in accordance with their assumed tax liabilities. To the extent that Viant Technology Inc. needs funds, and Viant Technology LLC is restricted from making such distributions under applicable laws or regulations, or is otherwise unable to provide such funds, it could materially and adversely affect Viant Technology Inc.’s ability to pay dividends and taxes and other expenses, including payments under the Tax Receivable Agreement, and affect our liquidity and financial condition.</w:t>
      </w:r>
    </w:p>
    <w:p>
      <w:pPr>
        <w:spacing w:after="0" w:line="179"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i w:val="1"/>
          <w:iCs w:val="1"/>
          <w:color w:val="auto"/>
        </w:rPr>
        <w:t>The Internal Revenue Service (“IRS”) might challenge the tax basis step-ups and other tax benefits we received in connection with our IPO and the related transactions and in connection with future acquisitions of Viant Technology LLC units.</w:t>
      </w:r>
    </w:p>
    <w:p>
      <w:pPr>
        <w:spacing w:after="0" w:line="74" w:lineRule="exact"/>
        <w:rPr>
          <w:sz w:val="20"/>
          <w:szCs w:val="20"/>
          <w:color w:val="auto"/>
        </w:rPr>
      </w:pPr>
    </w:p>
    <w:p>
      <w:pPr>
        <w:ind w:right="20" w:firstLine="479"/>
        <w:spacing w:after="0" w:line="266" w:lineRule="auto"/>
        <w:rPr>
          <w:sz w:val="20"/>
          <w:szCs w:val="20"/>
          <w:color w:val="auto"/>
        </w:rPr>
      </w:pPr>
      <w:r>
        <w:rPr>
          <w:rFonts w:ascii="Arial" w:cs="Arial" w:eastAsia="Arial" w:hAnsi="Arial"/>
          <w:sz w:val="17"/>
          <w:szCs w:val="17"/>
          <w:color w:val="auto"/>
        </w:rPr>
        <w:t>The Viant Technology LLC units held directly by the members of Viant Technology LLC other than Viant Technology Inc., including Tim Vanderhook, Chris Vanderhook, and Capital V LLC (formerly Four Brothers 2 LLC) (the "Vanderhook Parties"), may in the future be exchanged for shares of our Class A common stock or, at our election, cash. Those exchanges may result in increases in the tax basis of the assets of Viant Technology LLC that otherwise would not have been available. These increases in tax basis are expected to increase (for tax purposes) Viant Technology Inc.’s depreciation and amortization and, together with other tax benefits, reduce the amount of tax that Viant Technology Inc. would otherwise be required to pay, although it is possible that the IRS might challenge all or part of these tax basis increases or other tax benefits, and a court might sustain such a challenge. Viant Technology Inc.’s ability to achieve benefits from any tax basis increases or other tax benefits will depend upon a number of factors, as discussed below, including the timing and amount of our future income.</w:t>
      </w:r>
    </w:p>
    <w:p>
      <w:pPr>
        <w:spacing w:after="0" w:line="77" w:lineRule="exact"/>
        <w:rPr>
          <w:sz w:val="20"/>
          <w:szCs w:val="20"/>
          <w:color w:val="auto"/>
        </w:rPr>
      </w:pPr>
    </w:p>
    <w:p>
      <w:pPr>
        <w:ind w:firstLine="479"/>
        <w:spacing w:after="0" w:line="256" w:lineRule="auto"/>
        <w:rPr>
          <w:sz w:val="20"/>
          <w:szCs w:val="20"/>
          <w:color w:val="auto"/>
        </w:rPr>
      </w:pPr>
      <w:r>
        <w:rPr>
          <w:rFonts w:ascii="Arial" w:cs="Arial" w:eastAsia="Arial" w:hAnsi="Arial"/>
          <w:sz w:val="18"/>
          <w:szCs w:val="18"/>
          <w:color w:val="auto"/>
        </w:rPr>
        <w:t>We will not be reimbursed for any payments previously made under the Tax Receivable Agreement if the basis increases or other tax benefits described above are successfully challenged by the IRS or another taxing authority. As a result, in certain circumstances, payments could be made under the Tax Receivable Agreement in excess of our ultimate cash tax savings.</w:t>
      </w:r>
    </w:p>
    <w:p>
      <w:pPr>
        <w:spacing w:after="0" w:line="190" w:lineRule="exact"/>
        <w:rPr>
          <w:sz w:val="20"/>
          <w:szCs w:val="20"/>
          <w:color w:val="auto"/>
        </w:rPr>
      </w:pPr>
    </w:p>
    <w:p>
      <w:pPr>
        <w:ind w:right="400"/>
        <w:spacing w:after="0" w:line="396" w:lineRule="auto"/>
        <w:rPr>
          <w:sz w:val="20"/>
          <w:szCs w:val="20"/>
          <w:color w:val="auto"/>
        </w:rPr>
      </w:pPr>
      <w:r>
        <w:rPr>
          <w:rFonts w:ascii="Arial" w:cs="Arial" w:eastAsia="Arial" w:hAnsi="Arial"/>
          <w:sz w:val="14"/>
          <w:szCs w:val="14"/>
          <w:b w:val="1"/>
          <w:bCs w:val="1"/>
          <w:i w:val="1"/>
          <w:iCs w:val="1"/>
          <w:color w:val="auto"/>
        </w:rPr>
        <w:t>We are required to pay over to continuing members of Viant Technology LLC most of the tax benefits we receive from tax basis step-ups (and certain other tax benefits) attributable to its acquisition of units of Viant Technology LLC, and the amount of those payments may be substantial.</w:t>
      </w:r>
    </w:p>
    <w:p>
      <w:pPr>
        <w:spacing w:after="0" w:line="1" w:lineRule="exact"/>
        <w:rPr>
          <w:sz w:val="20"/>
          <w:szCs w:val="20"/>
          <w:color w:val="auto"/>
        </w:rPr>
      </w:pPr>
    </w:p>
    <w:p>
      <w:pPr>
        <w:ind w:right="40" w:firstLine="479"/>
        <w:spacing w:after="0" w:line="281" w:lineRule="auto"/>
        <w:rPr>
          <w:sz w:val="20"/>
          <w:szCs w:val="20"/>
          <w:color w:val="auto"/>
        </w:rPr>
      </w:pPr>
      <w:r>
        <w:rPr>
          <w:rFonts w:ascii="Arial" w:cs="Arial" w:eastAsia="Arial" w:hAnsi="Arial"/>
          <w:sz w:val="16"/>
          <w:szCs w:val="16"/>
          <w:color w:val="auto"/>
        </w:rPr>
        <w:t>Viant Technology Inc. has entered into a Tax Receivable Agreement with Viant Technology LLC, continuing members of Viant Technology LLC (not including Viant Technology Inc.) and the TRA Representative. The Tax Receivable Agreement provides for payment by Viant Technology Inc. to continuing members of Viant Technology LLC (not including Viant Technology Inc.) of 85% of the amount of the net cash tax savings, if any, that Viant Technology Inc. realizes (or, under certain circumstances, is deemed to realize) as a result of increases in tax basis (and utilization of certain other tax benefits) resulting from</w:t>
      </w:r>
    </w:p>
    <w:p>
      <w:pPr>
        <w:spacing w:after="0" w:line="1" w:lineRule="exact"/>
        <w:rPr>
          <w:sz w:val="20"/>
          <w:szCs w:val="20"/>
          <w:color w:val="auto"/>
        </w:rPr>
      </w:pPr>
    </w:p>
    <w:p>
      <w:pPr>
        <w:ind w:right="20" w:firstLine="6"/>
        <w:spacing w:after="0" w:line="250" w:lineRule="auto"/>
        <w:tabs>
          <w:tab w:leader="none" w:pos="2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Viant Technology Inc.’s acquisition of Viant Technology LLC units from pre-IPO members of Viant Technology LLC in connection with the IPO and in future exchanges and (ii) any payments Viant Technology Inc. makes under the Tax Receivable Agreement (including tax benefits related to imputed interest). Viant Technology Inc. will retain the benefit of the remaining 15% of these net cash tax savings.</w:t>
      </w:r>
    </w:p>
    <w:p>
      <w:pPr>
        <w:spacing w:after="0" w:line="88" w:lineRule="exact"/>
        <w:rPr>
          <w:sz w:val="20"/>
          <w:szCs w:val="20"/>
          <w:color w:val="auto"/>
        </w:rPr>
      </w:pPr>
    </w:p>
    <w:p>
      <w:pPr>
        <w:ind w:right="220" w:firstLine="479"/>
        <w:spacing w:after="0" w:line="250" w:lineRule="auto"/>
        <w:rPr>
          <w:sz w:val="20"/>
          <w:szCs w:val="20"/>
          <w:color w:val="auto"/>
        </w:rPr>
      </w:pPr>
      <w:r>
        <w:rPr>
          <w:rFonts w:ascii="Arial" w:cs="Arial" w:eastAsia="Arial" w:hAnsi="Arial"/>
          <w:sz w:val="18"/>
          <w:szCs w:val="18"/>
          <w:color w:val="auto"/>
        </w:rPr>
        <w:t>The term of the Tax Receivable Agreement will continue until all tax benefits that are subject to the Tax Receivable Agreement have been utilized or have expired, unless we exercise our right to terminate the Tax Receivable Agreement (or it is terminated due to a change in control or our breach of a material obligation thereunder), in which case, Viant Technology Inc. will be required to make the termination payment specified in the Tax Receivable Agreement. In addition, payments we make under the Tax Receivable Agreement will be increased by any interest accrued from the due date (without extensions) of the corresponding tax return. The actual future payments to the continuing members of Viant Technology LLC will vary based on the factors discussed below, and estimating</w:t>
      </w:r>
    </w:p>
    <w:p>
      <w:pPr>
        <w:spacing w:after="0" w:line="200" w:lineRule="exact"/>
        <w:rPr>
          <w:sz w:val="20"/>
          <w:szCs w:val="20"/>
          <w:color w:val="auto"/>
        </w:rPr>
      </w:pPr>
    </w:p>
    <w:p>
      <w:pPr>
        <w:spacing w:after="0" w:line="21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59" w:name="page60"/>
    <w:bookmarkEnd w:id="59"/>
    <w:p>
      <w:pPr>
        <w:ind w:right="180"/>
        <w:spacing w:after="0" w:line="251" w:lineRule="auto"/>
        <w:rPr>
          <w:sz w:val="20"/>
          <w:szCs w:val="20"/>
          <w:color w:val="auto"/>
        </w:rPr>
      </w:pPr>
      <w:r>
        <w:rPr>
          <w:rFonts w:ascii="Arial" w:cs="Arial" w:eastAsia="Arial" w:hAnsi="Arial"/>
          <w:sz w:val="18"/>
          <w:szCs w:val="18"/>
          <w:color w:val="auto"/>
        </w:rPr>
        <w:t>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w:t>
      </w:r>
    </w:p>
    <w:p>
      <w:pPr>
        <w:spacing w:after="0" w:line="89" w:lineRule="exact"/>
        <w:rPr>
          <w:sz w:val="20"/>
          <w:szCs w:val="20"/>
          <w:color w:val="auto"/>
        </w:rPr>
      </w:pPr>
    </w:p>
    <w:p>
      <w:pPr>
        <w:ind w:firstLine="479"/>
        <w:spacing w:after="0" w:line="282" w:lineRule="auto"/>
        <w:rPr>
          <w:sz w:val="20"/>
          <w:szCs w:val="20"/>
          <w:color w:val="auto"/>
        </w:rPr>
      </w:pPr>
      <w:r>
        <w:rPr>
          <w:rFonts w:ascii="Arial" w:cs="Arial" w:eastAsia="Arial" w:hAnsi="Arial"/>
          <w:sz w:val="16"/>
          <w:szCs w:val="16"/>
          <w:color w:val="auto"/>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Viant Technology Inc.’s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Viant Technology Inc. may have made under the Tax Receivable Agreement and the portion of Viant Technology Inc.’s payments under the Tax Receivable Agreement that constitute imputed interest or give rise to depreciable or amortizable tax basis. We expect that, as a result of the increases in the tax basis of the tangible and intangible assets of Viant Technology LLC attributable to the exchanged Viant Technology LLC interests, and certain other tax benefits, the payments that Viant Technology Inc. will be required to make to the holders of rights under the Tax Receivable Agreement will be substantial. There may be a material negative effect on our financial condition and liquidity if, as described below, the payments under the Tax Receivable Agreement exceed the actual benefits Viant Technology Inc. receives in respect of the tax attributes subject to the Tax Receivable Agreement and/or distributions to Viant Technology Inc. by Viant Technology LLC are not sufficient to permit Viant Technology Inc. to make payments under the Tax Receivable Agreement.</w:t>
      </w:r>
    </w:p>
    <w:p>
      <w:pPr>
        <w:spacing w:after="0" w:line="17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i w:val="1"/>
          <w:iCs w:val="1"/>
          <w:color w:val="auto"/>
        </w:rPr>
        <w:t>In certain circumstances, payments under the Tax Receivable Agreement may be accelerated and/or significantly exceed the actual tax benefits, if any, that Viant Technology Inc. actually realizes.</w:t>
      </w:r>
    </w:p>
    <w:p>
      <w:pPr>
        <w:spacing w:after="0" w:line="74" w:lineRule="exact"/>
        <w:rPr>
          <w:sz w:val="20"/>
          <w:szCs w:val="20"/>
          <w:color w:val="auto"/>
        </w:rPr>
      </w:pPr>
    </w:p>
    <w:p>
      <w:pPr>
        <w:ind w:firstLine="479"/>
        <w:spacing w:after="0" w:line="280" w:lineRule="auto"/>
        <w:rPr>
          <w:sz w:val="20"/>
          <w:szCs w:val="20"/>
          <w:color w:val="auto"/>
        </w:rPr>
      </w:pPr>
      <w:r>
        <w:rPr>
          <w:rFonts w:ascii="Arial" w:cs="Arial" w:eastAsia="Arial" w:hAnsi="Arial"/>
          <w:sz w:val="16"/>
          <w:szCs w:val="16"/>
          <w:color w:val="auto"/>
        </w:rPr>
        <w:t>The Tax Receivable Agreement provides that if (i) Viant Technology Inc. exercises its right to early termination of the Tax Receivable Agreement in whole (that is, with respect to all benefits due to all beneficiaries under the Tax Receivable Agreement) or in part (that is, with respect to some benefits due to all beneficiaries under the Tax Receivable Agreement), (ii) Viant Technology Inc. experiences certain changes in control, (iii) the Tax Receivable Agreement is rejected in certain bankruptcy proceedings, (iv) Viant Technology Inc. fails (subject to certain exceptions) to make a payment under the Tax Receivable Agreement within 180 days after the due date or (v) Viant Technology Inc. materially breaches its obligations under the Tax Receivable Agreement, Viant Technology Inc. will be obligated to make an early termination payment to holders of rights under the Tax Receivable Agreement equal to the present value of all payments that would be required to be paid by Viant Technology Inc. under the Tax Receivable Agreement. The amount of such payments will be determined on the basis of certain assumptions in the Tax Receivable Agreement, including (i) the assumption that Viant Technology Inc.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Viant Technology Inc.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Viant Technology Inc.)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Viant Technology Inc. under the Tax Receivable Agreement at a rate equal to the lesser of (a) 6.5% and (b) the Secured Overnight Financing Rate, as reported by the Wall Street Journal plus 400 basis points.</w:t>
      </w:r>
    </w:p>
    <w:p>
      <w:pPr>
        <w:spacing w:after="0" w:line="75" w:lineRule="exact"/>
        <w:rPr>
          <w:sz w:val="20"/>
          <w:szCs w:val="20"/>
          <w:color w:val="auto"/>
        </w:rPr>
      </w:pPr>
    </w:p>
    <w:p>
      <w:pPr>
        <w:ind w:right="60" w:firstLine="479"/>
        <w:spacing w:after="0" w:line="286" w:lineRule="auto"/>
        <w:rPr>
          <w:sz w:val="20"/>
          <w:szCs w:val="20"/>
          <w:color w:val="auto"/>
        </w:rPr>
      </w:pPr>
      <w:r>
        <w:rPr>
          <w:rFonts w:ascii="Arial" w:cs="Arial" w:eastAsia="Arial" w:hAnsi="Arial"/>
          <w:sz w:val="16"/>
          <w:szCs w:val="16"/>
          <w:color w:val="auto"/>
        </w:rPr>
        <w:t>Moreover, as a result of an elective early termination, a change in control or Viant Technology Inc.’s material breach of its obligations under the Tax Receivable Agreement, Viant Technology Inc. could be required to make payments under the Tax Receivable Agreement that exceed its actual cash savings under the Tax Receivable Agreement. Thus, Viant Technology Inc.’s obligations under the Tax Receivable Agreement could have a substantial negative effect on its financial condition and liquidity and could have the effect of delaying, deferring or preventing certain mergers, asset sales, or other forms of business combinations or changes of control. We may not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63" w:lineRule="exact"/>
        <w:rPr>
          <w:sz w:val="20"/>
          <w:szCs w:val="20"/>
          <w:color w:val="auto"/>
        </w:rPr>
      </w:pPr>
    </w:p>
    <w:p>
      <w:pPr>
        <w:jc w:val="both"/>
        <w:ind w:right="60" w:firstLine="479"/>
        <w:spacing w:after="0" w:line="256" w:lineRule="auto"/>
        <w:rPr>
          <w:sz w:val="20"/>
          <w:szCs w:val="20"/>
          <w:color w:val="auto"/>
        </w:rPr>
      </w:pPr>
      <w:r>
        <w:rPr>
          <w:rFonts w:ascii="Arial" w:cs="Arial" w:eastAsia="Arial" w:hAnsi="Arial"/>
          <w:sz w:val="18"/>
          <w:szCs w:val="18"/>
          <w:color w:val="auto"/>
        </w:rPr>
        <w:t>Payments under the Tax Receivable Agreement will be based on the tax reporting positions that we will determine and the IRS or another tax authority may challenge all or part of the tax basis increases, as well as other related tax positions we take, and a court could sustain such challenge. If any tax benefits that have given rise to payments under the Tax Receivable Agreement are</w:t>
      </w:r>
    </w:p>
    <w:p>
      <w:pPr>
        <w:spacing w:after="0" w:line="200" w:lineRule="exact"/>
        <w:rPr>
          <w:sz w:val="20"/>
          <w:szCs w:val="20"/>
          <w:color w:val="auto"/>
        </w:rPr>
      </w:pPr>
    </w:p>
    <w:p>
      <w:pPr>
        <w:spacing w:after="0" w:line="20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0" w:name="page61"/>
    <w:bookmarkEnd w:id="60"/>
    <w:p>
      <w:pPr>
        <w:ind w:right="60"/>
        <w:spacing w:after="0" w:line="265" w:lineRule="auto"/>
        <w:rPr>
          <w:sz w:val="20"/>
          <w:szCs w:val="20"/>
          <w:color w:val="auto"/>
        </w:rPr>
      </w:pPr>
      <w:r>
        <w:rPr>
          <w:rFonts w:ascii="Arial" w:cs="Arial" w:eastAsia="Arial" w:hAnsi="Arial"/>
          <w:sz w:val="17"/>
          <w:szCs w:val="17"/>
          <w:color w:val="auto"/>
        </w:rPr>
        <w:t>subsequently disallowed, Viant Technology Inc.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 following commencement of any challenge, and Viant Technology Inc. will not be permitted to reduce its payments under the Tax Receivable Agreement until there has been a final and binding determination, by which time sufficient subsequent payments under the Tax Receivable Agreement may not be available to offset prior payments for disallowed benefits. Viant Technology Inc. will not be reimbursed for any payments previously made under the Tax Receivable Agreement if the basis increases described above are successfully challenged by the IRS or another taxing authority. As a result, in certain circumstances, payments could be made under the Tax Receivable Agreement that are significantly in excess of the benefit that Viant Technology Inc. actually realizes in respect of the increases in tax basis (and utilization of certain other tax benefits) and Viant Technology Inc. may not be able to recoup those payments, which could adversely affect Viant Technology Inc.’s financial condition and liquidity.</w:t>
      </w:r>
    </w:p>
    <w:p>
      <w:pPr>
        <w:spacing w:after="0" w:line="184" w:lineRule="exact"/>
        <w:rPr>
          <w:sz w:val="20"/>
          <w:szCs w:val="20"/>
          <w:color w:val="auto"/>
        </w:rPr>
      </w:pPr>
    </w:p>
    <w:p>
      <w:pPr>
        <w:ind w:right="520"/>
        <w:spacing w:after="0" w:line="296" w:lineRule="auto"/>
        <w:rPr>
          <w:sz w:val="20"/>
          <w:szCs w:val="20"/>
          <w:color w:val="auto"/>
        </w:rPr>
      </w:pPr>
      <w:r>
        <w:rPr>
          <w:rFonts w:ascii="Arial" w:cs="Arial" w:eastAsia="Arial" w:hAnsi="Arial"/>
          <w:sz w:val="17"/>
          <w:szCs w:val="17"/>
          <w:b w:val="1"/>
          <w:bCs w:val="1"/>
          <w:i w:val="1"/>
          <w:iCs w:val="1"/>
          <w:color w:val="auto"/>
        </w:rPr>
        <w:t>In certain circumstances, Viant Technology LLC will be required to make distributions to Viant Technology Inc. and the existing members of Viant Technology LLC, and the distributions that Viant Technology LLC will be required to make may be substantial.</w:t>
      </w:r>
    </w:p>
    <w:p>
      <w:pPr>
        <w:spacing w:after="0" w:line="50" w:lineRule="exact"/>
        <w:rPr>
          <w:sz w:val="20"/>
          <w:szCs w:val="20"/>
          <w:color w:val="auto"/>
        </w:rPr>
      </w:pPr>
    </w:p>
    <w:p>
      <w:pPr>
        <w:ind w:firstLine="479"/>
        <w:spacing w:after="0" w:line="265" w:lineRule="auto"/>
        <w:rPr>
          <w:sz w:val="20"/>
          <w:szCs w:val="20"/>
          <w:color w:val="auto"/>
        </w:rPr>
      </w:pPr>
      <w:r>
        <w:rPr>
          <w:rFonts w:ascii="Arial" w:cs="Arial" w:eastAsia="Arial" w:hAnsi="Arial"/>
          <w:sz w:val="17"/>
          <w:szCs w:val="17"/>
          <w:color w:val="auto"/>
        </w:rPr>
        <w:t>Viant Technology LLC is expected to continue to be treated as a partnership for U.S. federal income tax purposes and, as such, is not subject to U.S. federal income tax. Instead, taxable income is allocated to members, including Viant Technology Inc. Pursuant to the Viant Technology LLC Operating Agreement, Viant Technology LLC makes tax distributions to its members, including Viant Technology Inc.,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spacing w:after="0" w:line="81" w:lineRule="exact"/>
        <w:rPr>
          <w:sz w:val="20"/>
          <w:szCs w:val="20"/>
          <w:color w:val="auto"/>
        </w:rPr>
      </w:pPr>
    </w:p>
    <w:p>
      <w:pPr>
        <w:ind w:right="40" w:firstLine="479"/>
        <w:spacing w:after="0" w:line="251" w:lineRule="auto"/>
        <w:rPr>
          <w:sz w:val="20"/>
          <w:szCs w:val="20"/>
          <w:color w:val="auto"/>
        </w:rPr>
      </w:pPr>
      <w:r>
        <w:rPr>
          <w:rFonts w:ascii="Arial" w:cs="Arial" w:eastAsia="Arial" w:hAnsi="Arial"/>
          <w:sz w:val="18"/>
          <w:szCs w:val="18"/>
          <w:color w:val="auto"/>
        </w:rPr>
        <w:t>Funds used by Viant Technology LLC to satisfy its tax distribution obligations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spacing w:after="0" w:line="89" w:lineRule="exact"/>
        <w:rPr>
          <w:sz w:val="20"/>
          <w:szCs w:val="20"/>
          <w:color w:val="auto"/>
        </w:rPr>
      </w:pPr>
    </w:p>
    <w:p>
      <w:pPr>
        <w:ind w:right="180" w:firstLine="479"/>
        <w:spacing w:after="0" w:line="273" w:lineRule="auto"/>
        <w:rPr>
          <w:sz w:val="20"/>
          <w:szCs w:val="20"/>
          <w:color w:val="auto"/>
        </w:rPr>
      </w:pPr>
      <w:r>
        <w:rPr>
          <w:rFonts w:ascii="Arial" w:cs="Arial" w:eastAsia="Arial" w:hAnsi="Arial"/>
          <w:sz w:val="17"/>
          <w:szCs w:val="17"/>
          <w:color w:val="auto"/>
        </w:rPr>
        <w:t>As a result of potential differences in the amount of net taxable income allocable to Viant Technology Inc. and to the existing members of Viant Technology LLC, as well as the use of an assumed tax rate in calculating Viant Technology LLC’s distribution obligations, we may receive distributions significantly in excess of our tax liabilities and obligations to make payments under the Tax Receivable Agreement. We may choose to manage these excess distributions through a number of different approaches, including by applying them to general corporate purposes.</w:t>
      </w:r>
    </w:p>
    <w:p>
      <w:pPr>
        <w:spacing w:after="0" w:line="17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i w:val="1"/>
          <w:iCs w:val="1"/>
          <w:color w:val="auto"/>
        </w:rPr>
        <w:t>If Viant Technology LLC were to become a publicly traded partnership taxable as a corporation for U.S. federal income tax purposes, Viant Technology Inc. and Viant Technology LLC might be subject to potentially significant tax inefficiencies, and Viant Technology Inc. would not be able to recover payments previously made by it under the Tax Receivable Agreement, even if the corresponding tax benefits were subsequently determined to have been unavailable due to such status.</w:t>
      </w:r>
    </w:p>
    <w:p>
      <w:pPr>
        <w:spacing w:after="0" w:line="86" w:lineRule="exact"/>
        <w:rPr>
          <w:sz w:val="20"/>
          <w:szCs w:val="20"/>
          <w:color w:val="auto"/>
        </w:rPr>
      </w:pPr>
    </w:p>
    <w:p>
      <w:pPr>
        <w:ind w:right="40" w:firstLine="479"/>
        <w:spacing w:after="0" w:line="288" w:lineRule="auto"/>
        <w:rPr>
          <w:sz w:val="20"/>
          <w:szCs w:val="20"/>
          <w:color w:val="auto"/>
        </w:rPr>
      </w:pPr>
      <w:r>
        <w:rPr>
          <w:rFonts w:ascii="Arial" w:cs="Arial" w:eastAsia="Arial" w:hAnsi="Arial"/>
          <w:sz w:val="16"/>
          <w:szCs w:val="16"/>
          <w:color w:val="auto"/>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60" w:lineRule="exact"/>
        <w:rPr>
          <w:sz w:val="20"/>
          <w:szCs w:val="20"/>
          <w:color w:val="auto"/>
        </w:rPr>
      </w:pPr>
    </w:p>
    <w:p>
      <w:pPr>
        <w:ind w:right="120" w:firstLine="479"/>
        <w:spacing w:after="0" w:line="250" w:lineRule="auto"/>
        <w:rPr>
          <w:sz w:val="20"/>
          <w:szCs w:val="20"/>
          <w:color w:val="auto"/>
        </w:rPr>
      </w:pPr>
      <w:r>
        <w:rPr>
          <w:rFonts w:ascii="Arial" w:cs="Arial" w:eastAsia="Arial" w:hAnsi="Arial"/>
          <w:sz w:val="18"/>
          <w:szCs w:val="18"/>
          <w:color w:val="auto"/>
        </w:rPr>
        <w:t>If Viant Technology LLC were to become a publicly traded partnership taxable as a corporation for U.S. federal income tax purposes, significant tax inefficiencies might result for Viant Technology Inc. and Viant Technology LLC, including as a result of Viant Technology Inc.’s inability to file a consolidated U.S. federal income tax return with Viant Technology LLC. In addition, Viant Technology Inc.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spacing w:after="0" w:line="200" w:lineRule="exact"/>
        <w:rPr>
          <w:sz w:val="20"/>
          <w:szCs w:val="20"/>
          <w:color w:val="auto"/>
        </w:rPr>
      </w:pPr>
    </w:p>
    <w:p>
      <w:pPr>
        <w:spacing w:after="0" w:line="21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We may experience fluctuations in our operating results, which could make our future operating results difficult to predict or cause our operating results to fall below securities analysts’ and investors’ expectations.</w:t>
      </w:r>
    </w:p>
    <w:p>
      <w:pPr>
        <w:spacing w:after="0" w:line="74" w:lineRule="exact"/>
        <w:rPr>
          <w:sz w:val="20"/>
          <w:szCs w:val="20"/>
          <w:color w:val="auto"/>
        </w:rPr>
      </w:pPr>
    </w:p>
    <w:p>
      <w:pPr>
        <w:ind w:firstLine="479"/>
        <w:spacing w:after="0" w:line="282" w:lineRule="auto"/>
        <w:rPr>
          <w:sz w:val="20"/>
          <w:szCs w:val="20"/>
          <w:color w:val="auto"/>
        </w:rPr>
      </w:pPr>
      <w:r>
        <w:rPr>
          <w:rFonts w:ascii="Arial" w:cs="Arial" w:eastAsia="Arial" w:hAnsi="Arial"/>
          <w:sz w:val="16"/>
          <w:szCs w:val="16"/>
          <w:color w:val="auto"/>
        </w:rPr>
        <w:t>Our quarterly and annual operating results have fluctuated in the past and we expect our future operating results to fluctuate due to a variety of factors, many of which are beyond our control. In particular, we offer our customers a choice of two different pricing options: a percentage of spend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The varying nature of our pricing mix between periods may make it more difficult for us to 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and geopolitical environment continues to evolve as a result of the COVID-19 pandemic, bank failures, labor shortages, inflation and monetary supply shifts, rising interest rates, tightening of credit markets, and potential disruptions from the ongoing Russia-Ukraine conflict, our historical operating results may not be necessarily indicative of our future operating results. In addition to changes in terms of mix of our different pricing options, factors that may cause our operating results to fluctuate include the following:</w:t>
      </w:r>
    </w:p>
    <w:p>
      <w:pPr>
        <w:spacing w:after="0" w:line="68" w:lineRule="exact"/>
        <w:rPr>
          <w:sz w:val="20"/>
          <w:szCs w:val="20"/>
          <w:color w:val="auto"/>
        </w:rPr>
      </w:pPr>
    </w:p>
    <w:p>
      <w:pPr>
        <w:ind w:left="960" w:hanging="474"/>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demand for our platform, including those related to the seasonal nature of our customers’ spending on digital advertising campaigns;</w:t>
      </w:r>
    </w:p>
    <w:p>
      <w:pPr>
        <w:spacing w:after="0" w:line="135" w:lineRule="exact"/>
        <w:rPr>
          <w:rFonts w:ascii="Arial" w:cs="Arial" w:eastAsia="Arial" w:hAnsi="Arial"/>
          <w:sz w:val="16"/>
          <w:szCs w:val="16"/>
          <w:color w:val="auto"/>
        </w:rPr>
      </w:pPr>
    </w:p>
    <w:p>
      <w:pPr>
        <w:ind w:left="960" w:right="440" w:hanging="474"/>
        <w:spacing w:after="0" w:line="266"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pricing policies, the pricing policies of our competitors and the pricing or availability of inventory, data or other third-party services;</w:t>
      </w:r>
    </w:p>
    <w:p>
      <w:pPr>
        <w:spacing w:after="0" w:line="73" w:lineRule="exact"/>
        <w:rPr>
          <w:rFonts w:ascii="Arial" w:cs="Arial" w:eastAsia="Arial" w:hAnsi="Arial"/>
          <w:sz w:val="18"/>
          <w:szCs w:val="18"/>
          <w:color w:val="auto"/>
        </w:rPr>
      </w:pPr>
    </w:p>
    <w:p>
      <w:pPr>
        <w:ind w:left="960" w:hanging="47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customer base and platform offerings;</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addition or loss of advertising agencies and marketers as customers;</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advertising budget allocations, agency affiliations or marketing strategies;</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to our channel mix (including, for example, changes in demand for connected TV);</w:t>
      </w:r>
    </w:p>
    <w:p>
      <w:pPr>
        <w:spacing w:after="0" w:line="112" w:lineRule="exact"/>
        <w:rPr>
          <w:rFonts w:ascii="Arial" w:cs="Arial" w:eastAsia="Arial" w:hAnsi="Arial"/>
          <w:sz w:val="18"/>
          <w:szCs w:val="18"/>
          <w:color w:val="auto"/>
        </w:rPr>
      </w:pPr>
    </w:p>
    <w:p>
      <w:pPr>
        <w:ind w:left="960" w:right="220" w:hanging="474"/>
        <w:spacing w:after="0" w:line="266"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and uncertainty in the regulatory and business environment for us or customers (for example, when Apple or Google change policies for their browsers and operating systems);</w:t>
      </w:r>
    </w:p>
    <w:p>
      <w:pPr>
        <w:spacing w:after="0" w:line="73" w:lineRule="exact"/>
        <w:rPr>
          <w:rFonts w:ascii="Arial" w:cs="Arial" w:eastAsia="Arial" w:hAnsi="Arial"/>
          <w:sz w:val="18"/>
          <w:szCs w:val="18"/>
          <w:color w:val="auto"/>
        </w:rPr>
      </w:pPr>
    </w:p>
    <w:p>
      <w:pPr>
        <w:ind w:left="960" w:right="20" w:hanging="474"/>
        <w:spacing w:after="0" w:line="303"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the economic prospects of marketers or the economy generally (due to COVID-19, labor shortages, inflation and monetary supply shifts, rising interest rates, tightening of credit markets, and potential disruptions from the ongoing Russia-Ukraine conflict or otherwise), which could alter marketers’ spending priorities, or could increase the time or costs required to complete advertising inventory sales;</w:t>
      </w:r>
    </w:p>
    <w:p>
      <w:pPr>
        <w:spacing w:after="0" w:line="48" w:lineRule="exact"/>
        <w:rPr>
          <w:rFonts w:ascii="Arial" w:cs="Arial" w:eastAsia="Arial" w:hAnsi="Arial"/>
          <w:sz w:val="16"/>
          <w:szCs w:val="16"/>
          <w:color w:val="auto"/>
        </w:rPr>
      </w:pPr>
    </w:p>
    <w:p>
      <w:pPr>
        <w:ind w:left="960" w:hanging="47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availability of advertising inventory or in the cost of reaching end consumers through digital advertising;</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disruptions or outages on our platform;</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introduction of new technologies or offerings by our competitors;</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capital expenditures as we acquire the hardware, equipment and other assets required to support our business;</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timing differences between our payments for advertising inventory and our collection of related advertising revenue;</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length and unpredictability of our sales cycle;</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related to acquisitions of businesses or technologies, or employee recruiting; and</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shifting views and behaviors of consumers concerning use of data.</w:t>
      </w:r>
    </w:p>
    <w:p>
      <w:pPr>
        <w:spacing w:after="0" w:line="219" w:lineRule="exact"/>
        <w:rPr>
          <w:sz w:val="20"/>
          <w:szCs w:val="20"/>
          <w:color w:val="auto"/>
        </w:rPr>
      </w:pPr>
    </w:p>
    <w:p>
      <w:pPr>
        <w:ind w:right="360" w:firstLine="479"/>
        <w:spacing w:after="0" w:line="296" w:lineRule="auto"/>
        <w:rPr>
          <w:sz w:val="20"/>
          <w:szCs w:val="20"/>
          <w:color w:val="auto"/>
        </w:rPr>
      </w:pPr>
      <w:r>
        <w:rPr>
          <w:rFonts w:ascii="Arial" w:cs="Arial" w:eastAsia="Arial" w:hAnsi="Arial"/>
          <w:sz w:val="17"/>
          <w:szCs w:val="17"/>
          <w:color w:val="auto"/>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spacing w:after="0" w:line="37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i w:val="1"/>
          <w:iCs w:val="1"/>
          <w:color w:val="auto"/>
        </w:rPr>
        <w:t>We may not be able to secure additional financing on favorable terms, or at all, to meet our future capital needs, which may in turn impair our growth.</w:t>
      </w:r>
    </w:p>
    <w:p>
      <w:pPr>
        <w:spacing w:after="0" w:line="158" w:lineRule="exact"/>
        <w:rPr>
          <w:sz w:val="20"/>
          <w:szCs w:val="20"/>
          <w:color w:val="auto"/>
        </w:rPr>
      </w:pPr>
    </w:p>
    <w:p>
      <w:pPr>
        <w:ind w:right="80" w:firstLine="479"/>
        <w:spacing w:after="0" w:line="266" w:lineRule="auto"/>
        <w:rPr>
          <w:sz w:val="20"/>
          <w:szCs w:val="20"/>
          <w:color w:val="auto"/>
        </w:rPr>
      </w:pPr>
      <w:r>
        <w:rPr>
          <w:rFonts w:ascii="Arial" w:cs="Arial" w:eastAsia="Arial" w:hAnsi="Arial"/>
          <w:sz w:val="17"/>
          <w:szCs w:val="17"/>
          <w:color w:val="auto"/>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spacing w:after="0" w:line="184"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i w:val="1"/>
          <w:iCs w:val="1"/>
          <w:color w:val="auto"/>
        </w:rPr>
        <w:t>If we continue to grow our business and increase our offerings, our costs will increase and we may not be able to generate sufficient revenue to sustain profitability and failure to manage growth effectively could cause our business to suffer.</w:t>
      </w:r>
    </w:p>
    <w:p>
      <w:pPr>
        <w:spacing w:after="0" w:line="74" w:lineRule="exact"/>
        <w:rPr>
          <w:sz w:val="20"/>
          <w:szCs w:val="20"/>
          <w:color w:val="auto"/>
        </w:rPr>
      </w:pPr>
    </w:p>
    <w:p>
      <w:pPr>
        <w:ind w:right="300" w:firstLine="479"/>
        <w:spacing w:after="0" w:line="303" w:lineRule="auto"/>
        <w:rPr>
          <w:sz w:val="20"/>
          <w:szCs w:val="20"/>
          <w:color w:val="auto"/>
        </w:rPr>
      </w:pPr>
      <w:r>
        <w:rPr>
          <w:rFonts w:ascii="Arial" w:cs="Arial" w:eastAsia="Arial" w:hAnsi="Arial"/>
          <w:sz w:val="16"/>
          <w:szCs w:val="16"/>
          <w:color w:val="auto"/>
        </w:rPr>
        <w:t>We have expended significant resources in the past to grow our business and increase the offerings of our platform. While we have recently implemented cost reduction initiatives aimed at reducing our operating expenses and sharpening our focus on key growth priorities in light of the current macroeconomic environment, if we continue to grow our business, it could require substantial financial and other resources to, among other things:</w:t>
      </w:r>
    </w:p>
    <w:p>
      <w:pPr>
        <w:spacing w:after="0" w:line="49" w:lineRule="exact"/>
        <w:rPr>
          <w:sz w:val="20"/>
          <w:szCs w:val="20"/>
          <w:color w:val="auto"/>
        </w:rPr>
      </w:pPr>
    </w:p>
    <w:p>
      <w:pPr>
        <w:ind w:left="960" w:right="80" w:hanging="474"/>
        <w:spacing w:after="0" w:line="266"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 our platform, including by investing in our engineering team, creating, acquiring or licensing new products or features, and improving the functionality, availability and security of our platform;</w:t>
      </w:r>
    </w:p>
    <w:p>
      <w:pPr>
        <w:spacing w:after="0" w:line="73" w:lineRule="exact"/>
        <w:rPr>
          <w:rFonts w:ascii="Arial" w:cs="Arial" w:eastAsia="Arial" w:hAnsi="Arial"/>
          <w:sz w:val="18"/>
          <w:szCs w:val="18"/>
          <w:color w:val="auto"/>
        </w:rPr>
      </w:pPr>
    </w:p>
    <w:p>
      <w:pPr>
        <w:ind w:left="960" w:hanging="474"/>
        <w:spacing w:after="0"/>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improve our technology infrastructure, including investing in internal technology development and acquiring outside technologies;</w:t>
      </w:r>
    </w:p>
    <w:p>
      <w:pPr>
        <w:spacing w:after="0" w:line="124" w:lineRule="exact"/>
        <w:rPr>
          <w:rFonts w:ascii="Arial" w:cs="Arial" w:eastAsia="Arial" w:hAnsi="Arial"/>
          <w:sz w:val="17"/>
          <w:szCs w:val="17"/>
          <w:color w:val="auto"/>
        </w:rPr>
      </w:pPr>
    </w:p>
    <w:p>
      <w:pPr>
        <w:ind w:left="960" w:hanging="474"/>
        <w:spacing w:after="0"/>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cover general and administrative expenses, including legal, accounting and other expenses necessary to support a larger organization;</w:t>
      </w:r>
    </w:p>
    <w:p>
      <w:pPr>
        <w:spacing w:after="0" w:line="124" w:lineRule="exact"/>
        <w:rPr>
          <w:rFonts w:ascii="Arial" w:cs="Arial" w:eastAsia="Arial" w:hAnsi="Arial"/>
          <w:sz w:val="17"/>
          <w:szCs w:val="17"/>
          <w:color w:val="auto"/>
        </w:rPr>
      </w:pPr>
    </w:p>
    <w:p>
      <w:pPr>
        <w:ind w:left="960" w:hanging="47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cover sales and marketing expenses, including a significant expansion of our direct sales organization;</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cover expenses relating to data collection and consumer privacy compliance, including additional infrastructure, automation and personnel; and</w:t>
      </w:r>
    </w:p>
    <w:p>
      <w:pPr>
        <w:spacing w:after="0" w:line="135" w:lineRule="exact"/>
        <w:rPr>
          <w:rFonts w:ascii="Arial" w:cs="Arial" w:eastAsia="Arial" w:hAnsi="Arial"/>
          <w:sz w:val="16"/>
          <w:szCs w:val="16"/>
          <w:color w:val="auto"/>
        </w:rPr>
      </w:pPr>
    </w:p>
    <w:p>
      <w:pPr>
        <w:ind w:left="960" w:hanging="47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explore strategic acquisitions.</w:t>
      </w:r>
    </w:p>
    <w:p>
      <w:pPr>
        <w:spacing w:after="0" w:line="112" w:lineRule="exact"/>
        <w:rPr>
          <w:sz w:val="20"/>
          <w:szCs w:val="20"/>
          <w:color w:val="auto"/>
        </w:rPr>
      </w:pPr>
    </w:p>
    <w:p>
      <w:pPr>
        <w:ind w:right="120" w:firstLine="479"/>
        <w:spacing w:after="0" w:line="266" w:lineRule="auto"/>
        <w:rPr>
          <w:sz w:val="20"/>
          <w:szCs w:val="20"/>
          <w:color w:val="auto"/>
        </w:rPr>
      </w:pPr>
      <w:r>
        <w:rPr>
          <w:rFonts w:ascii="Arial" w:cs="Arial" w:eastAsia="Arial" w:hAnsi="Arial"/>
          <w:sz w:val="18"/>
          <w:szCs w:val="18"/>
          <w:color w:val="auto"/>
        </w:rPr>
        <w:t>Investing in the foregoing, however, may not yield anticipated returns. Consequently, as our costs increase, we may not be able to generate sufficient revenue to achieve or sustain profitability.</w:t>
      </w:r>
    </w:p>
    <w:p>
      <w:pPr>
        <w:spacing w:after="0" w:line="74" w:lineRule="exact"/>
        <w:rPr>
          <w:sz w:val="20"/>
          <w:szCs w:val="20"/>
          <w:color w:val="auto"/>
        </w:rPr>
      </w:pPr>
    </w:p>
    <w:p>
      <w:pPr>
        <w:ind w:right="120" w:firstLine="479"/>
        <w:spacing w:after="0" w:line="250" w:lineRule="auto"/>
        <w:rPr>
          <w:sz w:val="20"/>
          <w:szCs w:val="20"/>
          <w:color w:val="auto"/>
        </w:rPr>
      </w:pPr>
      <w:r>
        <w:rPr>
          <w:rFonts w:ascii="Arial" w:cs="Arial" w:eastAsia="Arial" w:hAnsi="Arial"/>
          <w:sz w:val="18"/>
          <w:szCs w:val="18"/>
          <w:color w:val="auto"/>
        </w:rPr>
        <w:t>Further, to manage our growth effectively, we must continually evaluate and evolve our organization. We must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rapid growth may place a strain on our resources, infrastructure and ability to maintain the quality of our platform. Failure to manage our growth effectively could cause our business to suffer and have an adverse effect on our operating results and financial condition.</w:t>
      </w:r>
    </w:p>
    <w:p>
      <w:pPr>
        <w:spacing w:after="0" w:line="197"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i w:val="1"/>
          <w:iCs w:val="1"/>
          <w:color w:val="auto"/>
        </w:rPr>
        <w:t>We are a party to a revolving credit agreement, which contains a number of covenants that may restrict our current and future operations and could adversely affect our ability to execute business needs.</w:t>
      </w:r>
    </w:p>
    <w:p>
      <w:pPr>
        <w:spacing w:after="0" w:line="74" w:lineRule="exact"/>
        <w:rPr>
          <w:sz w:val="20"/>
          <w:szCs w:val="20"/>
          <w:color w:val="auto"/>
        </w:rPr>
      </w:pPr>
    </w:p>
    <w:p>
      <w:pPr>
        <w:ind w:firstLine="479"/>
        <w:spacing w:after="0" w:line="285" w:lineRule="auto"/>
        <w:rPr>
          <w:sz w:val="20"/>
          <w:szCs w:val="20"/>
          <w:color w:val="auto"/>
        </w:rPr>
      </w:pPr>
      <w:r>
        <w:rPr>
          <w:rFonts w:ascii="Arial" w:cs="Arial" w:eastAsia="Arial" w:hAnsi="Arial"/>
          <w:sz w:val="16"/>
          <w:szCs w:val="16"/>
          <w:color w:val="auto"/>
        </w:rPr>
        <w:t>Our Amended Loan Agreement with PNC Bank contains a number of covenants that limit our ability and our subsidiaries’ ability to, among other things, incur indebtedness, create liens, make investments, merge with other companies, dispose of our assets, prepay other indebtedness and make dividends and other distributions. The terms of our Amended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As of June 30, 2023, the Amended Loan Agreement also contains a financial covenant that requires us to maintain a minimum fixed charge coverage ratio of 1.40 to 1 when undrawn availability under the Amended Loan Agreement is less than 25%. We may not be able to generate sufficient cash flow or sales to meet the financial covenant or pay the principal or interest under the Amended Loan Agreement.</w:t>
      </w:r>
    </w:p>
    <w:p>
      <w:pPr>
        <w:spacing w:after="0" w:line="63" w:lineRule="exact"/>
        <w:rPr>
          <w:sz w:val="20"/>
          <w:szCs w:val="20"/>
          <w:color w:val="auto"/>
        </w:rPr>
      </w:pPr>
    </w:p>
    <w:p>
      <w:pPr>
        <w:ind w:right="480" w:firstLine="479"/>
        <w:spacing w:after="0" w:line="273" w:lineRule="auto"/>
        <w:rPr>
          <w:sz w:val="20"/>
          <w:szCs w:val="20"/>
          <w:color w:val="auto"/>
        </w:rPr>
      </w:pPr>
      <w:r>
        <w:rPr>
          <w:rFonts w:ascii="Arial" w:cs="Arial" w:eastAsia="Arial" w:hAnsi="Arial"/>
          <w:sz w:val="17"/>
          <w:szCs w:val="17"/>
          <w:color w:val="auto"/>
        </w:rPr>
        <w:t>If we are unable to comply with our payment requirements, our lender may accelerate our obligations under our Amended Loan Agreement and foreclose upon the collateral, or we may be forced to sell assets, restructure our indebtedness or seek additional equity capital, which would dilute our stockholders’ interests. If we fail to comply with our covenants under the Amended Loan Agreement, it could result in an event of default under the agreement and our lender could make the entire debt immediately due and payable. If</w:t>
      </w:r>
    </w:p>
    <w:p>
      <w:pPr>
        <w:spacing w:after="0" w:line="38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325" w:right="419" w:bottom="1440" w:gutter="0" w:footer="0" w:header="0"/>
        </w:sectPr>
      </w:pPr>
    </w:p>
    <w:bookmarkStart w:id="63" w:name="page64"/>
    <w:bookmarkEnd w:id="63"/>
    <w:p>
      <w:pPr>
        <w:ind w:right="220"/>
        <w:spacing w:after="0" w:line="266" w:lineRule="auto"/>
        <w:rPr>
          <w:sz w:val="20"/>
          <w:szCs w:val="20"/>
          <w:color w:val="auto"/>
        </w:rPr>
      </w:pPr>
      <w:r>
        <w:rPr>
          <w:rFonts w:ascii="Arial" w:cs="Arial" w:eastAsia="Arial" w:hAnsi="Arial"/>
          <w:sz w:val="18"/>
          <w:szCs w:val="18"/>
          <w:color w:val="auto"/>
        </w:rPr>
        <w:t>this occurs, we might not be able to repay our debt or borrow sufficient funds to refinance it. Even if new financing is available, it may not be on terms that are acceptable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fluctuations in advertising activity could have a material impact on our revenue, cash flow and operating results.</w:t>
      </w:r>
    </w:p>
    <w:p>
      <w:pPr>
        <w:spacing w:after="0" w:line="112" w:lineRule="exact"/>
        <w:rPr>
          <w:sz w:val="20"/>
          <w:szCs w:val="20"/>
          <w:color w:val="auto"/>
        </w:rPr>
      </w:pPr>
    </w:p>
    <w:p>
      <w:pPr>
        <w:ind w:right="80" w:firstLine="479"/>
        <w:spacing w:after="0" w:line="250" w:lineRule="auto"/>
        <w:rPr>
          <w:sz w:val="20"/>
          <w:szCs w:val="20"/>
          <w:color w:val="auto"/>
        </w:rPr>
      </w:pPr>
      <w:r>
        <w:rPr>
          <w:rFonts w:ascii="Arial" w:cs="Arial" w:eastAsia="Arial" w:hAnsi="Arial"/>
          <w:sz w:val="18"/>
          <w:szCs w:val="18"/>
          <w:color w:val="auto"/>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Historically, the fourth quarter has reflected our highest level of advertising activity for the year. In contrast, the first quarter of the calendar year has typically been the slowest in terms of advertising spend. Political advertising could also cause our revenue to increase during election cycles and decrease during other periods, making it difficult to predict our revenue, cash flow, and operating results, all of which could fall below our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Class A common stock has been and may continue to be volatile or may decline regardless of our operating performance.</w:t>
      </w:r>
    </w:p>
    <w:p>
      <w:pPr>
        <w:spacing w:after="0" w:line="135" w:lineRule="exact"/>
        <w:rPr>
          <w:sz w:val="20"/>
          <w:szCs w:val="20"/>
          <w:color w:val="auto"/>
        </w:rPr>
      </w:pPr>
    </w:p>
    <w:p>
      <w:pPr>
        <w:ind w:firstLine="479"/>
        <w:spacing w:after="0" w:line="265" w:lineRule="auto"/>
        <w:rPr>
          <w:sz w:val="20"/>
          <w:szCs w:val="20"/>
          <w:color w:val="auto"/>
        </w:rPr>
      </w:pPr>
      <w:r>
        <w:rPr>
          <w:rFonts w:ascii="Arial" w:cs="Arial" w:eastAsia="Arial" w:hAnsi="Arial"/>
          <w:sz w:val="17"/>
          <w:szCs w:val="17"/>
          <w:color w:val="auto"/>
        </w:rPr>
        <w:t>The market price of equity securities of technology companies has historically experienced high levels of volatility. The closing price of our Class A common stock since first trading on February 10, 2021 through August 3, 2023 has ranged from a low of $3.15 to a high of $68.31. The market price of our Class A common stock could be subject to wide fluctuations in response to the risk factors listed in this section and others beyond our control. Further, stock markets may experience extreme price and volume fluctuations that can affect the market prices of equity securities. These fluctuations can be unrelated or disproportionate to the operating performance of those companies. For instance, if the stock market for technology companies, or the stock market generally, experiences a loss of 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84"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i w:val="1"/>
          <w:iCs w:val="1"/>
          <w:color w:val="auto"/>
        </w:rPr>
        <w:t>Sales of substantial blocks of our Class A common stock into the public market, or the perception that such sales might occur, could cause the market price of our Class A common stock to decline.</w:t>
      </w:r>
    </w:p>
    <w:p>
      <w:pPr>
        <w:spacing w:after="0" w:line="74" w:lineRule="exact"/>
        <w:rPr>
          <w:sz w:val="20"/>
          <w:szCs w:val="20"/>
          <w:color w:val="auto"/>
        </w:rPr>
      </w:pPr>
    </w:p>
    <w:p>
      <w:pPr>
        <w:jc w:val="both"/>
        <w:ind w:right="20" w:firstLine="479"/>
        <w:spacing w:after="0" w:line="256" w:lineRule="auto"/>
        <w:rPr>
          <w:sz w:val="20"/>
          <w:szCs w:val="20"/>
          <w:color w:val="auto"/>
        </w:rPr>
      </w:pPr>
      <w:r>
        <w:rPr>
          <w:rFonts w:ascii="Arial" w:cs="Arial" w:eastAsia="Arial" w:hAnsi="Arial"/>
          <w:sz w:val="18"/>
          <w:szCs w:val="18"/>
          <w:color w:val="auto"/>
        </w:rPr>
        <w:t>Sales of substantial blocks of our Class A common stock into the public market, or the perception that such sales might occur, in particular sales by our directors, officers or other affiliates, could cause the market price of our Class A common stock to decline and could impair our ability to raise capital through the sale of additional equity securities.</w:t>
      </w:r>
    </w:p>
    <w:p>
      <w:pPr>
        <w:spacing w:after="0" w:line="190"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i w:val="1"/>
          <w:iCs w:val="1"/>
          <w:color w:val="auto"/>
        </w:rPr>
        <w:t>We are a “controlled company” within the meaning of the listing standards of the Nasdaq Global Select Market (“Nasdaq”) and, as a result, qualify for, and rely on, exemptions from certain corporate governance requirements.</w:t>
      </w:r>
    </w:p>
    <w:p>
      <w:pPr>
        <w:spacing w:after="0" w:line="74" w:lineRule="exact"/>
        <w:rPr>
          <w:sz w:val="20"/>
          <w:szCs w:val="20"/>
          <w:color w:val="auto"/>
        </w:rPr>
      </w:pPr>
    </w:p>
    <w:p>
      <w:pPr>
        <w:ind w:right="100" w:firstLine="479"/>
        <w:spacing w:after="0" w:line="266" w:lineRule="auto"/>
        <w:rPr>
          <w:sz w:val="20"/>
          <w:szCs w:val="20"/>
          <w:color w:val="auto"/>
        </w:rPr>
      </w:pPr>
      <w:r>
        <w:rPr>
          <w:rFonts w:ascii="Arial" w:cs="Arial" w:eastAsia="Arial" w:hAnsi="Arial"/>
          <w:sz w:val="17"/>
          <w:szCs w:val="17"/>
          <w:color w:val="auto"/>
        </w:rPr>
        <w:t>The Vanderhook Parties hold a majority of the voting power of our outstanding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 Currently, our compensation committee does not consist entirely of independent directors and our directors are not nominated or selected entirely by independent directors. Accordingly, you may not have the same protections afforded to stockholders of companies that are subject to all of the corporate governance requirements of Nasdaq.</w:t>
      </w:r>
    </w:p>
    <w:p>
      <w:pPr>
        <w:spacing w:after="0" w:line="184"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i w:val="1"/>
          <w:iCs w:val="1"/>
          <w:color w:val="auto"/>
        </w:rPr>
        <w:t>Insiders have substantial control over our company, which could limit your ability to influence the outcome of key decisions, including a change of control.</w:t>
      </w:r>
    </w:p>
    <w:p>
      <w:pPr>
        <w:spacing w:after="0" w:line="74" w:lineRule="exact"/>
        <w:rPr>
          <w:sz w:val="20"/>
          <w:szCs w:val="20"/>
          <w:color w:val="auto"/>
        </w:rPr>
      </w:pPr>
    </w:p>
    <w:p>
      <w:pPr>
        <w:ind w:right="220" w:firstLine="479"/>
        <w:spacing w:after="0" w:line="288" w:lineRule="auto"/>
        <w:rPr>
          <w:sz w:val="20"/>
          <w:szCs w:val="20"/>
          <w:color w:val="auto"/>
        </w:rPr>
      </w:pPr>
      <w:r>
        <w:rPr>
          <w:rFonts w:ascii="Arial" w:cs="Arial" w:eastAsia="Arial" w:hAnsi="Arial"/>
          <w:sz w:val="16"/>
          <w:szCs w:val="16"/>
          <w:color w:val="auto"/>
        </w:rPr>
        <w:t>Through their ownership of common stock, the Vanderhook Parties control approximately 71% of the voting power of our common stock in the election of directors as of June 30, 2023. This control will limit or preclude your ability to influence corporate matters for the foreseeable future. These stockholders will be able to influence or control matters requiring approval by our stockholders, including the election 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spacing w:after="0" w:line="37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other corporate governance changes.</w:t>
      </w:r>
    </w:p>
    <w:p>
      <w:pPr>
        <w:spacing w:after="0" w:line="112" w:lineRule="exact"/>
        <w:rPr>
          <w:sz w:val="20"/>
          <w:szCs w:val="20"/>
          <w:color w:val="auto"/>
        </w:rPr>
      </w:pPr>
    </w:p>
    <w:p>
      <w:pPr>
        <w:ind w:right="60" w:firstLine="479"/>
        <w:spacing w:after="0" w:line="303"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spacing w:after="0" w:line="49" w:lineRule="exact"/>
        <w:rPr>
          <w:sz w:val="20"/>
          <w:szCs w:val="20"/>
          <w:color w:val="auto"/>
        </w:rPr>
      </w:pPr>
    </w:p>
    <w:p>
      <w:pPr>
        <w:jc w:val="both"/>
        <w:ind w:left="960" w:right="100" w:hanging="474"/>
        <w:spacing w:after="0" w:line="256"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with staggered, three-year terms and that directors may only be removed for cause after the Vanderhook Parties collectively cease to beneficially own a majority of the combined voting power of our Class A and Class B Common Stock (the “Triggering Event”);</w:t>
      </w:r>
    </w:p>
    <w:p>
      <w:pPr>
        <w:spacing w:after="0" w:line="83" w:lineRule="exact"/>
        <w:rPr>
          <w:rFonts w:ascii="Arial" w:cs="Arial" w:eastAsia="Arial" w:hAnsi="Arial"/>
          <w:sz w:val="18"/>
          <w:szCs w:val="18"/>
          <w:color w:val="auto"/>
        </w:rPr>
      </w:pPr>
    </w:p>
    <w:p>
      <w:pPr>
        <w:ind w:left="960" w:hanging="47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 created directorships;</w:t>
      </w:r>
    </w:p>
    <w:p>
      <w:pPr>
        <w:spacing w:after="0" w:line="112" w:lineRule="exact"/>
        <w:rPr>
          <w:rFonts w:ascii="Arial" w:cs="Arial" w:eastAsia="Arial" w:hAnsi="Arial"/>
          <w:sz w:val="18"/>
          <w:szCs w:val="18"/>
          <w:color w:val="auto"/>
        </w:rPr>
      </w:pPr>
    </w:p>
    <w:p>
      <w:pPr>
        <w:ind w:left="960" w:right="300" w:hanging="474"/>
        <w:spacing w:after="0" w:line="266"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after the Triggering Event, vacancies on our board of directors may be filled only by a majority of directors then in office, even though less than a quorum;</w:t>
      </w:r>
    </w:p>
    <w:p>
      <w:pPr>
        <w:spacing w:after="0" w:line="73" w:lineRule="exact"/>
        <w:rPr>
          <w:rFonts w:ascii="Arial" w:cs="Arial" w:eastAsia="Arial" w:hAnsi="Arial"/>
          <w:sz w:val="18"/>
          <w:szCs w:val="18"/>
          <w:color w:val="auto"/>
        </w:rPr>
      </w:pPr>
    </w:p>
    <w:p>
      <w:pPr>
        <w:ind w:left="960" w:hanging="47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super-majority voting to amend our certificate of incorporation and bylaws;</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24" w:lineRule="exact"/>
        <w:rPr>
          <w:rFonts w:ascii="Arial" w:cs="Arial" w:eastAsia="Arial" w:hAnsi="Arial"/>
          <w:sz w:val="17"/>
          <w:szCs w:val="17"/>
          <w:color w:val="auto"/>
        </w:rPr>
      </w:pPr>
    </w:p>
    <w:p>
      <w:pPr>
        <w:ind w:left="960" w:hanging="47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2" w:lineRule="exact"/>
        <w:rPr>
          <w:rFonts w:ascii="Arial" w:cs="Arial" w:eastAsia="Arial" w:hAnsi="Arial"/>
          <w:sz w:val="18"/>
          <w:szCs w:val="18"/>
          <w:color w:val="auto"/>
        </w:rPr>
      </w:pPr>
    </w:p>
    <w:p>
      <w:pPr>
        <w:ind w:left="960" w:right="360" w:hanging="474"/>
        <w:spacing w:after="0" w:line="266"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 with the concurrence of a majority of our board of directors;</w:t>
      </w:r>
    </w:p>
    <w:p>
      <w:pPr>
        <w:spacing w:after="0" w:line="73" w:lineRule="exact"/>
        <w:rPr>
          <w:rFonts w:ascii="Arial" w:cs="Arial" w:eastAsia="Arial" w:hAnsi="Arial"/>
          <w:sz w:val="18"/>
          <w:szCs w:val="18"/>
          <w:color w:val="auto"/>
        </w:rPr>
      </w:pPr>
    </w:p>
    <w:p>
      <w:pPr>
        <w:ind w:left="960" w:right="120" w:hanging="474"/>
        <w:spacing w:after="0" w:line="266"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stockholder action by written consent after the Triggering Event, which requires all stockholder actions to be taken at a meeting of our stockholders;</w:t>
      </w:r>
    </w:p>
    <w:p>
      <w:pPr>
        <w:spacing w:after="0" w:line="73" w:lineRule="exact"/>
        <w:rPr>
          <w:rFonts w:ascii="Arial" w:cs="Arial" w:eastAsia="Arial" w:hAnsi="Arial"/>
          <w:sz w:val="18"/>
          <w:szCs w:val="18"/>
          <w:color w:val="auto"/>
        </w:rPr>
      </w:pPr>
    </w:p>
    <w:p>
      <w:pPr>
        <w:ind w:left="960" w:hanging="47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permit our board of directors to alter our bylaws without obtaining stockholder approval;</w:t>
      </w:r>
    </w:p>
    <w:p>
      <w:pPr>
        <w:spacing w:after="0" w:line="112" w:lineRule="exact"/>
        <w:rPr>
          <w:rFonts w:ascii="Arial" w:cs="Arial" w:eastAsia="Arial" w:hAnsi="Arial"/>
          <w:sz w:val="18"/>
          <w:szCs w:val="18"/>
          <w:color w:val="auto"/>
        </w:rPr>
      </w:pPr>
    </w:p>
    <w:p>
      <w:pPr>
        <w:ind w:left="960" w:hanging="47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 the dual class structure of our common stock, as discussed above; and</w:t>
      </w:r>
    </w:p>
    <w:p>
      <w:pPr>
        <w:spacing w:after="0" w:line="112" w:lineRule="exact"/>
        <w:rPr>
          <w:rFonts w:ascii="Arial" w:cs="Arial" w:eastAsia="Arial" w:hAnsi="Arial"/>
          <w:sz w:val="18"/>
          <w:szCs w:val="18"/>
          <w:color w:val="auto"/>
        </w:rPr>
      </w:pPr>
    </w:p>
    <w:p>
      <w:pPr>
        <w:ind w:left="960" w:right="140" w:hanging="474"/>
        <w:spacing w:after="0" w:line="266"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74" w:lineRule="exact"/>
        <w:rPr>
          <w:sz w:val="20"/>
          <w:szCs w:val="20"/>
          <w:color w:val="auto"/>
        </w:rPr>
      </w:pPr>
    </w:p>
    <w:p>
      <w:pPr>
        <w:ind w:right="20" w:firstLine="479"/>
        <w:spacing w:after="0" w:line="251" w:lineRule="auto"/>
        <w:rPr>
          <w:sz w:val="20"/>
          <w:szCs w:val="20"/>
          <w:color w:val="auto"/>
        </w:rPr>
      </w:pPr>
      <w:r>
        <w:rPr>
          <w:rFonts w:ascii="Arial" w:cs="Arial" w:eastAsia="Arial" w:hAnsi="Arial"/>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spacing w:after="0" w:line="196"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an exclusive forum clause, which could limit our stockholders’ ability to obtain a favorable judicial forum for disputes with us.</w:t>
      </w:r>
    </w:p>
    <w:p>
      <w:pPr>
        <w:spacing w:after="0" w:line="74" w:lineRule="exact"/>
        <w:rPr>
          <w:sz w:val="20"/>
          <w:szCs w:val="20"/>
          <w:color w:val="auto"/>
        </w:rPr>
      </w:pPr>
    </w:p>
    <w:p>
      <w:pPr>
        <w:ind w:right="80" w:firstLine="479"/>
        <w:spacing w:after="0" w:line="265"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spacing w:after="0" w:line="81" w:lineRule="exact"/>
        <w:rPr>
          <w:sz w:val="20"/>
          <w:szCs w:val="20"/>
          <w:color w:val="auto"/>
        </w:rPr>
      </w:pPr>
    </w:p>
    <w:p>
      <w:pPr>
        <w:ind w:firstLine="479"/>
        <w:spacing w:after="0" w:line="290" w:lineRule="auto"/>
        <w:rPr>
          <w:sz w:val="20"/>
          <w:szCs w:val="20"/>
          <w:color w:val="auto"/>
        </w:rPr>
      </w:pPr>
      <w:r>
        <w:rPr>
          <w:rFonts w:ascii="Arial" w:cs="Arial" w:eastAsia="Arial" w:hAnsi="Arial"/>
          <w:sz w:val="16"/>
          <w:szCs w:val="16"/>
          <w:color w:val="auto"/>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37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325" w:right="359" w:bottom="1440" w:gutter="0" w:footer="0" w:header="0"/>
        </w:sectPr>
      </w:pPr>
    </w:p>
    <w:bookmarkStart w:id="65" w:name="page66"/>
    <w:bookmarkEnd w:id="65"/>
    <w:p>
      <w:pPr>
        <w:ind w:right="380" w:firstLine="479"/>
        <w:spacing w:after="0" w:line="330"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18"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i w:val="1"/>
          <w:iCs w:val="1"/>
          <w:color w:val="auto"/>
        </w:rPr>
        <w:t>Our business is subject to a wide range of laws and regulations, many of which are evolving, and failure to comply with such laws and regulations could harm our business, financial condition, and results of operations.</w:t>
      </w:r>
    </w:p>
    <w:p>
      <w:pPr>
        <w:spacing w:after="0" w:line="74" w:lineRule="exact"/>
        <w:rPr>
          <w:sz w:val="20"/>
          <w:szCs w:val="20"/>
          <w:color w:val="auto"/>
        </w:rPr>
      </w:pPr>
    </w:p>
    <w:p>
      <w:pPr>
        <w:ind w:firstLine="479"/>
        <w:spacing w:after="0" w:line="281" w:lineRule="auto"/>
        <w:rPr>
          <w:sz w:val="20"/>
          <w:szCs w:val="20"/>
          <w:color w:val="auto"/>
        </w:rPr>
      </w:pPr>
      <w:r>
        <w:rPr>
          <w:rFonts w:ascii="Arial" w:cs="Arial" w:eastAsia="Arial" w:hAnsi="Arial"/>
          <w:sz w:val="16"/>
          <w:szCs w:val="16"/>
          <w:color w:val="231F20"/>
        </w:rPr>
        <w:t>Our business is subject to regulation by various federal, state, local and foreign governmental agencies, including agencies responsible for monitoring and enforcing employment and labor laws, consumer protection laws, anti-bribery and anti-corruption laws, import and export controls, federal securities laws, and tax laws and regulations. These laws and regulations govern a wide range of topics, including those related to matters beyond our core products and services. For instance, new regulations, laws, policies, and international accords relating to environmental and social matters, including sustainability, climate change, human capital, and diversity, are being developed and formalized in the United States, Europe and elsewhere, which may entail specific, target-driven frameworks and/or disclosure requirements. We have implemented environmental and social programs, adopted reporting frameworks and principles, and announced a number of goals and initiatives, including those related to environmental sustainability and diversity. The implementation of these goals and initiatives may require considerable investments, and our goals, with all of their contingencies, dependencies, and in certain cases, reliance on third-party verification and/or performance, are complex and ambitious, and we may not achieve them. Additionally, our current programs, reporting frameworks, and principles may not be in compliance with any new environmental and social laws and regulations that may be promulgated in the United States and elsewhere, and the costs of changing any of our current practices to comply with any new legal and regulatory requirements in the United States and elsewhere may be substantial. Furthermore, industry and market practices may further develop to become even more robust than what is required under any new laws and regulations and may impose added costs on our business and could require us to make changes to our business or platform. Noncompliance with applicable regulations or requirements could subject us to investigations, enforcement actions, sanctions, fines, damages, penalties, injunctions or termination of contracts. Any such matters could have a material adverse effect on our business, results of operations and financial condition.</w:t>
      </w:r>
    </w:p>
    <w:p>
      <w:pPr>
        <w:spacing w:after="0" w:line="17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Reduced reporting and disclosure requirements applicable to us as an emerging growth company and a smaller reporting company could make our Class A common stock less attractive to investors.</w:t>
      </w:r>
    </w:p>
    <w:p>
      <w:pPr>
        <w:spacing w:after="0" w:line="74" w:lineRule="exact"/>
        <w:rPr>
          <w:sz w:val="20"/>
          <w:szCs w:val="20"/>
          <w:color w:val="auto"/>
        </w:rPr>
      </w:pPr>
    </w:p>
    <w:p>
      <w:pPr>
        <w:ind w:right="20" w:firstLine="479"/>
        <w:spacing w:after="0" w:line="282" w:lineRule="auto"/>
        <w:rPr>
          <w:sz w:val="20"/>
          <w:szCs w:val="20"/>
          <w:color w:val="auto"/>
        </w:rPr>
      </w:pPr>
      <w:r>
        <w:rPr>
          <w:rFonts w:ascii="Arial" w:cs="Arial" w:eastAsia="Arial" w:hAnsi="Arial"/>
          <w:sz w:val="16"/>
          <w:szCs w:val="16"/>
          <w:color w:val="auto"/>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 We could be an EGC until December 31, 2026. We will cease to be an EGC upon the earliest of: (i) until December 31, 2026, (ii) the first fiscal year after our annual gross revenue is $1.235 billion or more, (iii) the date on which we have, during the previous three-year period, issued more than $1 billion in nonconvertible debt securities or (iv) the end of any fiscal year in which the market value of our Class A common stock held by non-affiliates exceeded $700.0 million as of the end of the second quarter of that fiscal year.</w:t>
      </w:r>
    </w:p>
    <w:p>
      <w:pPr>
        <w:spacing w:after="0" w:line="68" w:lineRule="exact"/>
        <w:rPr>
          <w:sz w:val="20"/>
          <w:szCs w:val="20"/>
          <w:color w:val="auto"/>
        </w:rPr>
      </w:pPr>
    </w:p>
    <w:p>
      <w:pPr>
        <w:ind w:right="300" w:firstLine="479"/>
        <w:spacing w:after="0" w:line="253" w:lineRule="auto"/>
        <w:rPr>
          <w:sz w:val="20"/>
          <w:szCs w:val="20"/>
          <w:color w:val="auto"/>
        </w:rPr>
      </w:pPr>
      <w:r>
        <w:rPr>
          <w:rFonts w:ascii="Arial" w:cs="Arial" w:eastAsia="Arial" w:hAnsi="Arial"/>
          <w:sz w:val="18"/>
          <w:szCs w:val="18"/>
          <w:color w:val="231F20"/>
        </w:rPr>
        <w:t xml:space="preserve">We are also a “smaller reporting company” as defined in the Exchange Act. We may take advantage of certain of the scaled disclosures available to smaller reporting companies as long as we qualify as a smaller reporting company, even after we are no longer an EGC, </w:t>
      </w:r>
      <w:r>
        <w:rPr>
          <w:rFonts w:ascii="Arial" w:cs="Arial" w:eastAsia="Arial" w:hAnsi="Arial"/>
          <w:sz w:val="18"/>
          <w:szCs w:val="18"/>
          <w:color w:val="000000"/>
        </w:rPr>
        <w:t>including not being required to</w:t>
      </w:r>
      <w:r>
        <w:rPr>
          <w:rFonts w:ascii="Arial" w:cs="Arial" w:eastAsia="Arial" w:hAnsi="Arial"/>
          <w:sz w:val="18"/>
          <w:szCs w:val="18"/>
          <w:color w:val="231F20"/>
        </w:rPr>
        <w:t xml:space="preserve"> </w:t>
      </w:r>
      <w:r>
        <w:rPr>
          <w:rFonts w:ascii="Arial" w:cs="Arial" w:eastAsia="Arial" w:hAnsi="Arial"/>
          <w:sz w:val="18"/>
          <w:szCs w:val="18"/>
          <w:color w:val="000000"/>
        </w:rPr>
        <w:t>comply with the auditor attestation requirements of Section 404 of the Sarbanes-Oxley Act and reduced disclosure obligations regarding executive compensation in our periodic reports and proxy statements.</w:t>
      </w:r>
    </w:p>
    <w:p>
      <w:pPr>
        <w:spacing w:after="0" w:line="192" w:lineRule="exact"/>
        <w:rPr>
          <w:sz w:val="20"/>
          <w:szCs w:val="20"/>
          <w:color w:val="auto"/>
        </w:rPr>
      </w:pPr>
    </w:p>
    <w:p>
      <w:pPr>
        <w:ind w:right="200"/>
        <w:spacing w:after="0" w:line="330" w:lineRule="auto"/>
        <w:rPr>
          <w:sz w:val="20"/>
          <w:szCs w:val="20"/>
          <w:color w:val="auto"/>
        </w:rPr>
      </w:pPr>
      <w:r>
        <w:rPr>
          <w:rFonts w:ascii="Arial" w:cs="Arial" w:eastAsia="Arial" w:hAnsi="Arial"/>
          <w:sz w:val="16"/>
          <w:szCs w:val="16"/>
          <w:b w:val="1"/>
          <w:bCs w:val="1"/>
          <w:i w:val="1"/>
          <w:iCs w:val="1"/>
          <w:color w:val="auto"/>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spacing w:after="0" w:line="27" w:lineRule="exact"/>
        <w:rPr>
          <w:sz w:val="20"/>
          <w:szCs w:val="20"/>
          <w:color w:val="auto"/>
        </w:rPr>
      </w:pPr>
    </w:p>
    <w:p>
      <w:pPr>
        <w:ind w:right="20" w:firstLine="479"/>
        <w:spacing w:after="0" w:line="250"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200" w:lineRule="exact"/>
        <w:rPr>
          <w:sz w:val="20"/>
          <w:szCs w:val="20"/>
          <w:color w:val="auto"/>
        </w:rPr>
      </w:pPr>
    </w:p>
    <w:p>
      <w:pPr>
        <w:spacing w:after="0" w:line="21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66" w:name="page67"/>
    <w:bookmarkEnd w:id="66"/>
    <w:p>
      <w:pPr>
        <w:ind w:firstLine="479"/>
        <w:spacing w:after="0" w:line="265"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spacing w:after="0" w:line="81" w:lineRule="exact"/>
        <w:rPr>
          <w:sz w:val="20"/>
          <w:szCs w:val="20"/>
          <w:color w:val="auto"/>
        </w:rPr>
      </w:pPr>
    </w:p>
    <w:p>
      <w:pPr>
        <w:ind w:right="100" w:firstLine="479"/>
        <w:spacing w:after="0" w:line="253" w:lineRule="auto"/>
        <w:rPr>
          <w:sz w:val="20"/>
          <w:szCs w:val="20"/>
          <w:color w:val="auto"/>
        </w:rPr>
      </w:pPr>
      <w:r>
        <w:rPr>
          <w:rFonts w:ascii="Arial" w:cs="Arial" w:eastAsia="Arial" w:hAnsi="Arial"/>
          <w:sz w:val="18"/>
          <w:szCs w:val="18"/>
          <w:color w:val="auto"/>
        </w:rPr>
        <w:t>Our independent registered public accounting firm is not required to audit the effectiveness of our internal control over financial reporting until after we are no longer an EGC and a smaller reporting company. At such time, our independent registered public accounting firm may issue an opinion on our internal controls over financial reporting that is adverse in the event it is not satisfied with the level at which our internal control over financial reporting is documented, designed or operating.</w:t>
      </w:r>
    </w:p>
    <w:p>
      <w:pPr>
        <w:spacing w:after="0" w:line="86" w:lineRule="exact"/>
        <w:rPr>
          <w:sz w:val="20"/>
          <w:szCs w:val="20"/>
          <w:color w:val="auto"/>
        </w:rPr>
      </w:pPr>
    </w:p>
    <w:p>
      <w:pPr>
        <w:ind w:right="380" w:firstLine="479"/>
        <w:spacing w:after="0" w:line="266" w:lineRule="auto"/>
        <w:rPr>
          <w:sz w:val="20"/>
          <w:szCs w:val="20"/>
          <w:color w:val="auto"/>
        </w:rPr>
      </w:pPr>
      <w:r>
        <w:rPr>
          <w:rFonts w:ascii="Arial" w:cs="Arial" w:eastAsia="Arial" w:hAnsi="Arial"/>
          <w:sz w:val="18"/>
          <w:szCs w:val="18"/>
          <w:color w:val="auto"/>
        </w:rPr>
        <w:t>Any failure to maintain effective disclosure controls and internal control over financial reporting could have a material and adverse effect on our business and operating results and cause a decline in the market price of our Class A common stock.</w:t>
      </w:r>
    </w:p>
    <w:p>
      <w:pPr>
        <w:spacing w:after="0" w:line="18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inaccurate or unfavorable research reports about our business, our share price and trading volume could decline.</w:t>
      </w:r>
    </w:p>
    <w:p>
      <w:pPr>
        <w:spacing w:after="0" w:line="74" w:lineRule="exact"/>
        <w:rPr>
          <w:sz w:val="20"/>
          <w:szCs w:val="20"/>
          <w:color w:val="auto"/>
        </w:rPr>
      </w:pPr>
    </w:p>
    <w:p>
      <w:pPr>
        <w:ind w:firstLine="479"/>
        <w:spacing w:after="0" w:line="266" w:lineRule="auto"/>
        <w:rPr>
          <w:sz w:val="20"/>
          <w:szCs w:val="20"/>
          <w:color w:val="auto"/>
        </w:rPr>
      </w:pPr>
      <w:r>
        <w:rPr>
          <w:rFonts w:ascii="Arial" w:cs="Arial" w:eastAsia="Arial" w:hAnsi="Arial"/>
          <w:sz w:val="18"/>
          <w:szCs w:val="18"/>
          <w:color w:val="auto"/>
        </w:rPr>
        <w:t>The trading market for our Class A common stock partially depends on the research and reports that securities or industry analysts publish about us or our business. We do not have any control over these analysts.</w:t>
      </w:r>
    </w:p>
    <w:p>
      <w:pPr>
        <w:spacing w:after="0" w:line="74" w:lineRule="exact"/>
        <w:rPr>
          <w:sz w:val="20"/>
          <w:szCs w:val="20"/>
          <w:color w:val="auto"/>
        </w:rPr>
      </w:pPr>
    </w:p>
    <w:p>
      <w:pPr>
        <w:jc w:val="both"/>
        <w:ind w:right="280" w:firstLine="479"/>
        <w:spacing w:after="0" w:line="256" w:lineRule="auto"/>
        <w:rPr>
          <w:sz w:val="20"/>
          <w:szCs w:val="20"/>
          <w:color w:val="auto"/>
        </w:rPr>
      </w:pPr>
      <w:r>
        <w:rPr>
          <w:rFonts w:ascii="Arial" w:cs="Arial" w:eastAsia="Arial" w:hAnsi="Arial"/>
          <w:sz w:val="18"/>
          <w:szCs w:val="18"/>
          <w:color w:val="auto"/>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Equity Securities by the Issuer and Affiliated Purchasers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did not repurchase any shares of our Class A common stock during the quarter ended June 30, 2023.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1219"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6. Exhibits</w:t>
      </w:r>
    </w:p>
    <w:p>
      <w:pPr>
        <w:spacing w:after="0" w:line="161"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8"/>
        </w:trPr>
        <w:tc>
          <w:tcPr>
            <w:tcW w:w="1080" w:type="dxa"/>
            <w:vAlign w:val="bottom"/>
          </w:tcPr>
          <w:p>
            <w:pPr>
              <w:ind w:left="2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660" w:type="dxa"/>
            <w:vAlign w:val="bottom"/>
            <w:gridSpan w:val="10"/>
          </w:tcPr>
          <w:p>
            <w:pPr>
              <w:ind w:left="1740"/>
              <w:spacing w:after="0"/>
              <w:rPr>
                <w:sz w:val="20"/>
                <w:szCs w:val="20"/>
                <w:color w:val="auto"/>
              </w:rPr>
            </w:pPr>
            <w:r>
              <w:rPr>
                <w:rFonts w:ascii="Arial" w:cs="Arial" w:eastAsia="Arial" w:hAnsi="Arial"/>
                <w:sz w:val="14"/>
                <w:szCs w:val="14"/>
                <w:b w:val="1"/>
                <w:bCs w:val="1"/>
                <w:color w:val="auto"/>
              </w:rPr>
              <w:t>Description</w:t>
            </w:r>
          </w:p>
        </w:tc>
      </w:tr>
      <w:tr>
        <w:trPr>
          <w:trHeight w:val="25"/>
        </w:trPr>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20"/>
        </w:trPr>
        <w:tc>
          <w:tcPr>
            <w:tcW w:w="108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20" w:type="dxa"/>
            <w:vAlign w:val="bottom"/>
            <w:gridSpan w:val="12"/>
          </w:tcPr>
          <w:p>
            <w:pPr>
              <w:spacing w:after="0"/>
              <w:rPr>
                <w:rFonts w:ascii="Arial" w:cs="Arial" w:eastAsia="Arial" w:hAnsi="Arial"/>
                <w:sz w:val="18"/>
                <w:szCs w:val="18"/>
                <w:color w:val="0000FF"/>
                <w:w w:val="92"/>
              </w:rPr>
            </w:pPr>
            <w:hyperlink r:id="rId106">
              <w:r>
                <w:rPr>
                  <w:rFonts w:ascii="Arial" w:cs="Arial" w:eastAsia="Arial" w:hAnsi="Arial"/>
                  <w:sz w:val="18"/>
                  <w:szCs w:val="18"/>
                  <w:color w:val="0000FF"/>
                  <w:w w:val="92"/>
                </w:rPr>
                <w:t>Amended and Restated Certificate of Incorporation of Viant Technology Inc. (incorporated by reference to Exhibit 3.1 to the</w:t>
              </w:r>
            </w:hyperlink>
          </w:p>
        </w:tc>
      </w:tr>
      <w:tr>
        <w:trPr>
          <w:trHeight w:val="153"/>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0"/>
          </w:tcPr>
          <w:p>
            <w:pPr>
              <w:spacing w:after="0" w:line="153" w:lineRule="exact"/>
              <w:rPr>
                <w:rFonts w:ascii="Arial" w:cs="Arial" w:eastAsia="Arial" w:hAnsi="Arial"/>
                <w:sz w:val="17"/>
                <w:szCs w:val="17"/>
                <w:color w:val="0000FF"/>
                <w:w w:val="97"/>
              </w:rPr>
            </w:pPr>
            <w:hyperlink r:id="rId106">
              <w:r>
                <w:rPr>
                  <w:rFonts w:ascii="Arial" w:cs="Arial" w:eastAsia="Arial" w:hAnsi="Arial"/>
                  <w:sz w:val="17"/>
                  <w:szCs w:val="17"/>
                  <w:color w:val="0000FF"/>
                  <w:w w:val="97"/>
                </w:rPr>
                <w:t>Company’s Annual Report on Form 10-K (File No. 001-40015) for the year ended December 31, 2020, filed on March 23,</w:t>
              </w:r>
            </w:hyperlink>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6"/>
        </w:trPr>
        <w:tc>
          <w:tcPr>
            <w:tcW w:w="10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20" w:type="dxa"/>
            <w:vAlign w:val="bottom"/>
            <w:tcBorders>
              <w:top w:val="single" w:sz="8" w:color="0000FF"/>
              <w:bottom w:val="single" w:sz="8" w:color="0000FF"/>
            </w:tcBorders>
          </w:tcPr>
          <w:p>
            <w:pPr>
              <w:spacing w:after="0" w:line="166" w:lineRule="exact"/>
              <w:rPr>
                <w:rFonts w:ascii="Arial" w:cs="Arial" w:eastAsia="Arial" w:hAnsi="Arial"/>
                <w:sz w:val="18"/>
                <w:szCs w:val="18"/>
                <w:color w:val="0000FF"/>
                <w:w w:val="86"/>
              </w:rPr>
            </w:pPr>
            <w:hyperlink r:id="rId106">
              <w:r>
                <w:rPr>
                  <w:rFonts w:ascii="Arial" w:cs="Arial" w:eastAsia="Arial" w:hAnsi="Arial"/>
                  <w:sz w:val="18"/>
                  <w:szCs w:val="18"/>
                  <w:color w:val="0000FF"/>
                  <w:w w:val="86"/>
                </w:rPr>
                <w:t>2021)</w:t>
              </w:r>
            </w:hyperlink>
          </w:p>
        </w:tc>
        <w:tc>
          <w:tcPr>
            <w:tcW w:w="2040" w:type="dxa"/>
            <w:vAlign w:val="bottom"/>
            <w:tcBorders>
              <w:top w:val="single" w:sz="8" w:color="0000FF"/>
            </w:tcBorders>
          </w:tcPr>
          <w:p>
            <w:pPr>
              <w:spacing w:after="0"/>
              <w:rPr>
                <w:sz w:val="14"/>
                <w:szCs w:val="14"/>
                <w:color w:val="auto"/>
              </w:rPr>
            </w:pPr>
          </w:p>
        </w:tc>
        <w:tc>
          <w:tcPr>
            <w:tcW w:w="48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60"/>
        </w:trPr>
        <w:tc>
          <w:tcPr>
            <w:tcW w:w="108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20" w:type="dxa"/>
            <w:vAlign w:val="bottom"/>
            <w:gridSpan w:val="12"/>
          </w:tcPr>
          <w:p>
            <w:pPr>
              <w:spacing w:after="0"/>
              <w:rPr>
                <w:rFonts w:ascii="Arial" w:cs="Arial" w:eastAsia="Arial" w:hAnsi="Arial"/>
                <w:sz w:val="18"/>
                <w:szCs w:val="18"/>
                <w:color w:val="0000FF"/>
                <w:w w:val="92"/>
              </w:rPr>
            </w:pPr>
            <w:hyperlink r:id="rId107">
              <w:r>
                <w:rPr>
                  <w:rFonts w:ascii="Arial" w:cs="Arial" w:eastAsia="Arial" w:hAnsi="Arial"/>
                  <w:sz w:val="18"/>
                  <w:szCs w:val="18"/>
                  <w:color w:val="0000FF"/>
                  <w:w w:val="92"/>
                </w:rPr>
                <w:t>Amended and Restated Bylaws of Viant Technology Inc. (incorporated by reference to Exhibit 3.2 to the Company’s Annual</w:t>
              </w:r>
            </w:hyperlink>
          </w:p>
        </w:tc>
      </w:tr>
      <w:tr>
        <w:trPr>
          <w:trHeight w:val="153"/>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5"/>
              </w:rPr>
            </w:pPr>
            <w:hyperlink r:id="rId107">
              <w:r>
                <w:rPr>
                  <w:rFonts w:ascii="Arial" w:cs="Arial" w:eastAsia="Arial" w:hAnsi="Arial"/>
                  <w:sz w:val="17"/>
                  <w:szCs w:val="17"/>
                  <w:color w:val="0000FF"/>
                  <w:w w:val="95"/>
                </w:rPr>
                <w:t>Report on Form 10-K (File No. 001-40015) for the year ended December 31, 2020, filed on March 23, 2021)</w:t>
              </w:r>
            </w:hyperlink>
          </w:p>
        </w:tc>
        <w:tc>
          <w:tcPr>
            <w:tcW w:w="1080" w:type="dxa"/>
            <w:vAlign w:val="bottom"/>
            <w:tcBorders>
              <w:top w:val="single" w:sz="8" w:color="0000FF"/>
            </w:tcBorders>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273"/>
        </w:trPr>
        <w:tc>
          <w:tcPr>
            <w:tcW w:w="108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0" w:type="dxa"/>
            <w:vAlign w:val="bottom"/>
            <w:tcBorders>
              <w:bottom w:val="single" w:sz="8" w:color="0000FF"/>
            </w:tcBorders>
            <w:gridSpan w:val="6"/>
          </w:tcPr>
          <w:p>
            <w:pPr>
              <w:spacing w:after="0"/>
              <w:rPr>
                <w:rFonts w:ascii="Arial" w:cs="Arial" w:eastAsia="Arial" w:hAnsi="Arial"/>
                <w:sz w:val="18"/>
                <w:szCs w:val="18"/>
                <w:color w:val="0000FF"/>
                <w:w w:val="89"/>
              </w:rPr>
            </w:pPr>
            <w:hyperlink r:id="rId108">
              <w:r>
                <w:rPr>
                  <w:rFonts w:ascii="Arial" w:cs="Arial" w:eastAsia="Arial" w:hAnsi="Arial"/>
                  <w:sz w:val="18"/>
                  <w:szCs w:val="18"/>
                  <w:color w:val="0000FF"/>
                  <w:w w:val="89"/>
                </w:rPr>
                <w:t>Sixth Amendment to the Revolving Credit and Security Agreement and Guaranty, dated as of April 4, 2023, among Viant</w:t>
              </w:r>
            </w:hyperlink>
          </w:p>
        </w:tc>
        <w:tc>
          <w:tcPr>
            <w:tcW w:w="520" w:type="dxa"/>
            <w:vAlign w:val="bottom"/>
            <w:gridSpan w:val="6"/>
          </w:tcPr>
          <w:p>
            <w:pPr>
              <w:spacing w:after="0"/>
              <w:rPr>
                <w:sz w:val="23"/>
                <w:szCs w:val="23"/>
                <w:color w:val="auto"/>
              </w:rPr>
            </w:pPr>
          </w:p>
        </w:tc>
      </w:tr>
      <w:tr>
        <w:trPr>
          <w:trHeight w:val="153"/>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gridSpan w:val="12"/>
          </w:tcPr>
          <w:p>
            <w:pPr>
              <w:spacing w:after="0" w:line="153" w:lineRule="exact"/>
              <w:rPr>
                <w:rFonts w:ascii="Arial" w:cs="Arial" w:eastAsia="Arial" w:hAnsi="Arial"/>
                <w:sz w:val="17"/>
                <w:szCs w:val="17"/>
                <w:color w:val="0000FF"/>
              </w:rPr>
            </w:pPr>
            <w:hyperlink r:id="rId108">
              <w:r>
                <w:rPr>
                  <w:rFonts w:ascii="Arial" w:cs="Arial" w:eastAsia="Arial" w:hAnsi="Arial"/>
                  <w:sz w:val="17"/>
                  <w:szCs w:val="17"/>
                  <w:color w:val="0000FF"/>
                </w:rPr>
                <w:t>Technology LLC, Viant US LLC, Adelphic LLC, Myspace LLC, Viant Technology Inc., the Lenders party thereto and PNC</w:t>
              </w:r>
            </w:hyperlink>
          </w:p>
        </w:tc>
      </w:tr>
      <w:tr>
        <w:trPr>
          <w:trHeight w:val="153"/>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8"/>
          </w:tcPr>
          <w:p>
            <w:pPr>
              <w:spacing w:after="0" w:line="153" w:lineRule="exact"/>
              <w:rPr>
                <w:rFonts w:ascii="Arial" w:cs="Arial" w:eastAsia="Arial" w:hAnsi="Arial"/>
                <w:sz w:val="17"/>
                <w:szCs w:val="17"/>
                <w:color w:val="0000FF"/>
                <w:w w:val="96"/>
              </w:rPr>
            </w:pPr>
            <w:hyperlink r:id="rId108">
              <w:r>
                <w:rPr>
                  <w:rFonts w:ascii="Arial" w:cs="Arial" w:eastAsia="Arial" w:hAnsi="Arial"/>
                  <w:sz w:val="17"/>
                  <w:szCs w:val="17"/>
                  <w:color w:val="0000FF"/>
                  <w:w w:val="96"/>
                </w:rPr>
                <w:t>Bank, National Association (incorporated by reference to Exhibit 10.1 to the Company’s Current Report on Form 8-K (File</w:t>
              </w:r>
            </w:hyperlink>
          </w:p>
        </w:tc>
        <w:tc>
          <w:tcPr>
            <w:tcW w:w="340" w:type="dxa"/>
            <w:vAlign w:val="bottom"/>
            <w:gridSpan w:val="4"/>
          </w:tcPr>
          <w:p>
            <w:pPr>
              <w:spacing w:after="0" w:line="153" w:lineRule="exact"/>
              <w:rPr>
                <w:rFonts w:ascii="Arial" w:cs="Arial" w:eastAsia="Arial" w:hAnsi="Arial"/>
                <w:sz w:val="17"/>
                <w:szCs w:val="17"/>
                <w:color w:val="0000FF"/>
              </w:rPr>
            </w:pPr>
            <w:hyperlink r:id="rId108">
              <w:r>
                <w:rPr>
                  <w:rFonts w:ascii="Arial" w:cs="Arial" w:eastAsia="Arial" w:hAnsi="Arial"/>
                  <w:sz w:val="17"/>
                  <w:szCs w:val="17"/>
                  <w:color w:val="0000FF"/>
                </w:rPr>
                <w:t>No.</w:t>
              </w:r>
            </w:hyperlink>
          </w:p>
        </w:tc>
      </w:tr>
      <w:tr>
        <w:trPr>
          <w:trHeight w:val="166"/>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40" w:type="dxa"/>
            <w:vAlign w:val="bottom"/>
            <w:tcBorders>
              <w:top w:val="single" w:sz="8" w:color="0000FF"/>
            </w:tcBorders>
            <w:gridSpan w:val="11"/>
          </w:tcPr>
          <w:p>
            <w:pPr>
              <w:spacing w:after="0" w:line="166" w:lineRule="exact"/>
              <w:rPr>
                <w:rFonts w:ascii="Arial" w:cs="Arial" w:eastAsia="Arial" w:hAnsi="Arial"/>
                <w:sz w:val="18"/>
                <w:szCs w:val="18"/>
                <w:color w:val="0000FF"/>
              </w:rPr>
            </w:pPr>
            <w:hyperlink r:id="rId108">
              <w:r>
                <w:rPr>
                  <w:rFonts w:ascii="Arial" w:cs="Arial" w:eastAsia="Arial" w:hAnsi="Arial"/>
                  <w:sz w:val="18"/>
                  <w:szCs w:val="18"/>
                  <w:color w:val="0000FF"/>
                </w:rPr>
                <w:t>001-40015) filed on April 6, 2023)</w:t>
              </w:r>
            </w:hyperlink>
          </w:p>
        </w:tc>
        <w:tc>
          <w:tcPr>
            <w:tcW w:w="8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r>
      <w:tr>
        <w:trPr>
          <w:trHeight w:val="260"/>
        </w:trPr>
        <w:tc>
          <w:tcPr>
            <w:tcW w:w="1080" w:type="dxa"/>
            <w:vAlign w:val="bottom"/>
          </w:tcPr>
          <w:p>
            <w:pPr>
              <w:ind w:left="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Certification of Principal Executive Officer Pursuant to Section 302 of the Sarbanes-Oxley Act of 2002</w:t>
            </w:r>
          </w:p>
        </w:tc>
        <w:tc>
          <w:tcPr>
            <w:tcW w:w="1780" w:type="dxa"/>
            <w:vAlign w:val="bottom"/>
            <w:gridSpan w:val="8"/>
          </w:tcPr>
          <w:p>
            <w:pPr>
              <w:spacing w:after="0"/>
              <w:rPr>
                <w:sz w:val="22"/>
                <w:szCs w:val="22"/>
                <w:color w:val="auto"/>
              </w:rPr>
            </w:pPr>
          </w:p>
        </w:tc>
      </w:tr>
      <w:tr>
        <w:trPr>
          <w:trHeight w:val="260"/>
        </w:trPr>
        <w:tc>
          <w:tcPr>
            <w:tcW w:w="1080" w:type="dxa"/>
            <w:vAlign w:val="bottom"/>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2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Section 302 of the Sarbanes-Oxley Act of 2002</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r>
      <w:tr>
        <w:trPr>
          <w:trHeight w:val="273"/>
        </w:trPr>
        <w:tc>
          <w:tcPr>
            <w:tcW w:w="1080" w:type="dxa"/>
            <w:vAlign w:val="bottom"/>
          </w:tcPr>
          <w:p>
            <w:pPr>
              <w:ind w:lef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Certification of Principal Executive Officer Pursuant to Section 906 of the Sarbanes-Oxley Act of 2002</w:t>
            </w:r>
          </w:p>
        </w:tc>
        <w:tc>
          <w:tcPr>
            <w:tcW w:w="1780" w:type="dxa"/>
            <w:vAlign w:val="bottom"/>
            <w:gridSpan w:val="8"/>
          </w:tcPr>
          <w:p>
            <w:pPr>
              <w:spacing w:after="0"/>
              <w:rPr>
                <w:sz w:val="23"/>
                <w:szCs w:val="23"/>
                <w:color w:val="auto"/>
              </w:rPr>
            </w:pPr>
          </w:p>
        </w:tc>
      </w:tr>
      <w:tr>
        <w:trPr>
          <w:trHeight w:val="260"/>
        </w:trPr>
        <w:tc>
          <w:tcPr>
            <w:tcW w:w="1080" w:type="dxa"/>
            <w:vAlign w:val="bottom"/>
          </w:tcPr>
          <w:p>
            <w:pPr>
              <w:ind w:left="2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2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Section 906 of the Sarbanes-Oxley Act of 2002</w:t>
            </w:r>
          </w:p>
        </w:tc>
      </w:tr>
      <w:tr>
        <w:trPr>
          <w:trHeight w:val="298"/>
        </w:trPr>
        <w:tc>
          <w:tcPr>
            <w:tcW w:w="1080" w:type="dxa"/>
            <w:vAlign w:val="bottom"/>
          </w:tcPr>
          <w:p>
            <w:pPr>
              <w:ind w:left="20"/>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Inline XBRL Instance Document</w:t>
            </w:r>
          </w:p>
        </w:tc>
        <w:tc>
          <w:tcPr>
            <w:tcW w:w="1840" w:type="dxa"/>
            <w:vAlign w:val="bottom"/>
            <w:gridSpan w:val="9"/>
          </w:tcPr>
          <w:p>
            <w:pPr>
              <w:spacing w:after="0"/>
              <w:rPr>
                <w:sz w:val="24"/>
                <w:szCs w:val="24"/>
                <w:color w:val="auto"/>
              </w:rPr>
            </w:pPr>
          </w:p>
        </w:tc>
      </w:tr>
      <w:tr>
        <w:trPr>
          <w:trHeight w:val="240"/>
        </w:trPr>
        <w:tc>
          <w:tcPr>
            <w:tcW w:w="1080" w:type="dxa"/>
            <w:vAlign w:val="bottom"/>
          </w:tcPr>
          <w:p>
            <w:pPr>
              <w:ind w:left="20"/>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2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6"/>
        </w:trPr>
        <w:tc>
          <w:tcPr>
            <w:tcW w:w="1080" w:type="dxa"/>
            <w:vAlign w:val="bottom"/>
          </w:tcPr>
          <w:p>
            <w:pPr>
              <w:ind w:left="20"/>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2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6"/>
        </w:trPr>
        <w:tc>
          <w:tcPr>
            <w:tcW w:w="1080" w:type="dxa"/>
            <w:vAlign w:val="bottom"/>
          </w:tcPr>
          <w:p>
            <w:pPr>
              <w:ind w:left="20"/>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2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0"/>
        </w:trPr>
        <w:tc>
          <w:tcPr>
            <w:tcW w:w="1080" w:type="dxa"/>
            <w:vAlign w:val="bottom"/>
          </w:tcPr>
          <w:p>
            <w:pPr>
              <w:ind w:left="20"/>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2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6"/>
        </w:trPr>
        <w:tc>
          <w:tcPr>
            <w:tcW w:w="1080" w:type="dxa"/>
            <w:vAlign w:val="bottom"/>
          </w:tcPr>
          <w:p>
            <w:pPr>
              <w:ind w:left="20"/>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2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6"/>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2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______________________</w:t>
      </w:r>
    </w:p>
    <w:p>
      <w:pPr>
        <w:spacing w:after="0" w:line="11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2" w:lineRule="exact"/>
        <w:rPr>
          <w:sz w:val="20"/>
          <w:szCs w:val="20"/>
          <w:color w:val="auto"/>
        </w:rPr>
      </w:pPr>
    </w:p>
    <w:p>
      <w:pPr>
        <w:ind w:left="640" w:right="20" w:hanging="634"/>
        <w:spacing w:after="0" w:line="330" w:lineRule="auto"/>
        <w:tabs>
          <w:tab w:leader="none" w:pos="267"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certifications furnished in Exhibits 32.1 and 32.2 hereto are deemed to accompany this Quarterly Report on Form 10-Q and will not be deemed “filed” for purposes of Section 18 of the Exchange Act, except to the extent that the registrant specifically incorporates it by reference.</w:t>
      </w:r>
    </w:p>
    <w:p>
      <w:pPr>
        <w:spacing w:after="0" w:line="34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80"/>
          </w:cols>
          <w:pgMar w:left="320" w:top="1319" w:right="799" w:bottom="1440" w:gutter="0" w:footer="0" w:header="0"/>
        </w:sectPr>
      </w:pPr>
    </w:p>
    <w:bookmarkStart w:id="68" w:name="page69"/>
    <w:bookmarkEnd w:id="68"/>
    <w:p>
      <w:pPr>
        <w:jc w:val="center"/>
        <w:ind w:left="460"/>
        <w:spacing w:after="0"/>
        <w:rPr>
          <w:sz w:val="20"/>
          <w:szCs w:val="20"/>
          <w:color w:val="auto"/>
        </w:rPr>
      </w:pPr>
      <w:r>
        <w:rPr>
          <w:rFonts w:ascii="Arial" w:cs="Arial" w:eastAsia="Arial" w:hAnsi="Arial"/>
          <w:sz w:val="18"/>
          <w:szCs w:val="18"/>
          <w:b w:val="1"/>
          <w:bCs w:val="1"/>
          <w:color w:val="auto"/>
        </w:rPr>
        <w:t>SIGNATURES</w:t>
      </w:r>
    </w:p>
    <w:p>
      <w:pPr>
        <w:spacing w:after="0" w:line="118" w:lineRule="exact"/>
        <w:rPr>
          <w:sz w:val="20"/>
          <w:szCs w:val="20"/>
          <w:color w:val="auto"/>
        </w:rPr>
      </w:pPr>
    </w:p>
    <w:p>
      <w:pPr>
        <w:ind w:firstLine="639"/>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VIANT TECHNOLOGY INC.</w:t>
      </w:r>
    </w:p>
    <w:p>
      <w:pPr>
        <w:spacing w:after="0" w:line="219" w:lineRule="exact"/>
        <w:rPr>
          <w:sz w:val="20"/>
          <w:szCs w:val="20"/>
          <w:color w:val="auto"/>
        </w:rPr>
      </w:pPr>
    </w:p>
    <w:p>
      <w:pPr>
        <w:ind w:left="500"/>
        <w:spacing w:after="0"/>
        <w:tabs>
          <w:tab w:leader="none" w:pos="5420" w:val="left"/>
          <w:tab w:leader="none" w:pos="760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11430</wp:posOffset>
            </wp:positionV>
            <wp:extent cx="31273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3127375" cy="8255"/>
                    </a:xfrm>
                    <a:prstGeom prst="rect">
                      <a:avLst/>
                    </a:prstGeom>
                    <a:noFill/>
                  </pic:spPr>
                </pic:pic>
              </a:graphicData>
            </a:graphic>
          </wp:anchor>
        </w:drawing>
      </w:r>
    </w:p>
    <w:p>
      <w:pPr>
        <w:spacing w:after="0" w:line="7"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Tim Vanderhook</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Chief Executive Officer and Chairman</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(Principal Executive Officer)</w:t>
      </w:r>
    </w:p>
    <w:p>
      <w:pPr>
        <w:spacing w:after="0" w:line="221" w:lineRule="exact"/>
        <w:rPr>
          <w:sz w:val="20"/>
          <w:szCs w:val="20"/>
          <w:color w:val="auto"/>
        </w:rPr>
      </w:pPr>
    </w:p>
    <w:p>
      <w:pPr>
        <w:ind w:left="500"/>
        <w:spacing w:after="0"/>
        <w:tabs>
          <w:tab w:leader="none" w:pos="5420" w:val="left"/>
          <w:tab w:leader="none" w:pos="768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20320</wp:posOffset>
            </wp:positionV>
            <wp:extent cx="31273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127375" cy="8255"/>
                    </a:xfrm>
                    <a:prstGeom prst="rect">
                      <a:avLst/>
                    </a:prstGeom>
                    <a:noFill/>
                  </pic:spPr>
                </pic:pic>
              </a:graphicData>
            </a:graphic>
          </wp:anchor>
        </w:drawing>
      </w:r>
    </w:p>
    <w:p>
      <w:pPr>
        <w:spacing w:after="0" w:line="20"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Larry Madden</w:t>
      </w:r>
    </w:p>
    <w:p>
      <w:pPr>
        <w:spacing w:after="0" w:line="3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34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760"/>
          </w:cols>
          <w:pgMar w:left="320" w:top="1319" w:right="81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 Tim Vanderhook, certify that:</w:t>
      </w:r>
    </w:p>
    <w:p>
      <w:pPr>
        <w:spacing w:after="0" w:line="179" w:lineRule="exact"/>
        <w:rPr>
          <w:sz w:val="20"/>
          <w:szCs w:val="20"/>
          <w:color w:val="auto"/>
        </w:rPr>
      </w:pPr>
    </w:p>
    <w:p>
      <w:pPr>
        <w:ind w:left="820" w:hanging="175"/>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Viant Technology Inc.;</w:t>
      </w:r>
    </w:p>
    <w:p>
      <w:pPr>
        <w:spacing w:after="0" w:line="192" w:lineRule="exact"/>
        <w:rPr>
          <w:rFonts w:ascii="Arial" w:cs="Arial" w:eastAsia="Arial" w:hAnsi="Arial"/>
          <w:sz w:val="18"/>
          <w:szCs w:val="18"/>
          <w:color w:val="auto"/>
        </w:rPr>
      </w:pPr>
    </w:p>
    <w:p>
      <w:pPr>
        <w:ind w:right="100" w:firstLine="645"/>
        <w:spacing w:after="0" w:line="330" w:lineRule="auto"/>
        <w:tabs>
          <w:tab w:leader="none" w:pos="816"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right="60" w:firstLine="645"/>
        <w:spacing w:after="0" w:line="296" w:lineRule="auto"/>
        <w:tabs>
          <w:tab w:leader="none" w:pos="8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firstLine="645"/>
        <w:spacing w:after="0" w:line="256" w:lineRule="auto"/>
        <w:tabs>
          <w:tab w:leader="none" w:pos="813"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registrant’s other certifying officer and I are responsible for establishing and maintaining disclosure controls and procedures (as defined in Exchange Act Rules 13a-15(e) and 15d-15(e)) </w:t>
      </w:r>
      <w:r>
        <w:rPr>
          <w:rFonts w:ascii="Arial" w:cs="Arial" w:eastAsia="Arial" w:hAnsi="Arial"/>
          <w:sz w:val="18"/>
          <w:szCs w:val="18"/>
          <w:color w:val="333333"/>
        </w:rPr>
        <w:t>and internal control over financial reporting (as defined in Exchange Act Rules 13a-15(f) and 15d-15(f))</w:t>
      </w:r>
      <w:r>
        <w:rPr>
          <w:rFonts w:ascii="Arial" w:cs="Arial" w:eastAsia="Arial" w:hAnsi="Arial"/>
          <w:sz w:val="18"/>
          <w:szCs w:val="18"/>
          <w:color w:val="auto"/>
        </w:rPr>
        <w:t xml:space="preserve"> for the registrant and have:</w:t>
      </w:r>
    </w:p>
    <w:p>
      <w:pPr>
        <w:spacing w:after="0" w:line="163" w:lineRule="exact"/>
        <w:rPr>
          <w:sz w:val="20"/>
          <w:szCs w:val="20"/>
          <w:color w:val="auto"/>
        </w:rPr>
      </w:pPr>
    </w:p>
    <w:p>
      <w:pPr>
        <w:ind w:right="320" w:firstLine="645"/>
        <w:spacing w:after="0" w:line="25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Arial" w:cs="Arial" w:eastAsia="Arial" w:hAnsi="Arial"/>
          <w:sz w:val="18"/>
          <w:szCs w:val="18"/>
          <w:color w:val="auto"/>
        </w:rPr>
      </w:pPr>
    </w:p>
    <w:p>
      <w:pPr>
        <w:ind w:firstLine="645"/>
        <w:spacing w:after="0" w:line="256" w:lineRule="auto"/>
        <w:tabs>
          <w:tab w:leader="none" w:pos="8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Arial" w:cs="Arial" w:eastAsia="Arial" w:hAnsi="Arial"/>
          <w:sz w:val="18"/>
          <w:szCs w:val="18"/>
          <w:color w:val="auto"/>
        </w:rPr>
      </w:pPr>
    </w:p>
    <w:p>
      <w:pPr>
        <w:ind w:right="820" w:firstLine="645"/>
        <w:spacing w:after="0" w:line="330"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6"/>
          <w:szCs w:val="16"/>
          <w:color w:val="auto"/>
        </w:rPr>
      </w:pPr>
    </w:p>
    <w:p>
      <w:pPr>
        <w:ind w:right="140" w:firstLine="645"/>
        <w:spacing w:after="0" w:line="256" w:lineRule="auto"/>
        <w:tabs>
          <w:tab w:leader="none" w:pos="8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sz w:val="20"/>
          <w:szCs w:val="20"/>
          <w:color w:val="auto"/>
        </w:rPr>
      </w:pPr>
    </w:p>
    <w:p>
      <w:pPr>
        <w:ind w:right="260" w:firstLine="645"/>
        <w:spacing w:after="0" w:line="330" w:lineRule="auto"/>
        <w:tabs>
          <w:tab w:leader="none" w:pos="81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right="240" w:firstLine="645"/>
        <w:spacing w:after="0" w:line="26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8"/>
          <w:szCs w:val="18"/>
          <w:color w:val="auto"/>
        </w:rPr>
      </w:pPr>
    </w:p>
    <w:p>
      <w:pPr>
        <w:ind w:right="180" w:firstLine="645"/>
        <w:spacing w:after="0" w:line="266" w:lineRule="auto"/>
        <w:tabs>
          <w:tab w:leader="none" w:pos="89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35674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 Vanderhook</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Chairman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93"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 Larry Madden, certify that:</w:t>
      </w:r>
    </w:p>
    <w:p>
      <w:pPr>
        <w:spacing w:after="0" w:line="179" w:lineRule="exact"/>
        <w:rPr>
          <w:sz w:val="20"/>
          <w:szCs w:val="20"/>
          <w:color w:val="auto"/>
        </w:rPr>
      </w:pPr>
    </w:p>
    <w:p>
      <w:pPr>
        <w:ind w:left="820" w:hanging="175"/>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Viant Technology Inc.;</w:t>
      </w:r>
    </w:p>
    <w:p>
      <w:pPr>
        <w:spacing w:after="0" w:line="192" w:lineRule="exact"/>
        <w:rPr>
          <w:rFonts w:ascii="Arial" w:cs="Arial" w:eastAsia="Arial" w:hAnsi="Arial"/>
          <w:sz w:val="18"/>
          <w:szCs w:val="18"/>
          <w:color w:val="auto"/>
        </w:rPr>
      </w:pPr>
    </w:p>
    <w:p>
      <w:pPr>
        <w:ind w:right="100" w:firstLine="645"/>
        <w:spacing w:after="0" w:line="330" w:lineRule="auto"/>
        <w:tabs>
          <w:tab w:leader="none" w:pos="816"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right="60" w:firstLine="645"/>
        <w:spacing w:after="0" w:line="296" w:lineRule="auto"/>
        <w:tabs>
          <w:tab w:leader="none" w:pos="8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firstLine="645"/>
        <w:spacing w:after="0" w:line="256" w:lineRule="auto"/>
        <w:tabs>
          <w:tab w:leader="none" w:pos="8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registrant’s other certifying officer and I are responsible for establishing and maintaining disclosure controls and procedures (as defined in Exchange Act Rules 13a-15(e) and 15d-15(e)) </w:t>
      </w:r>
      <w:r>
        <w:rPr>
          <w:rFonts w:ascii="Arial" w:cs="Arial" w:eastAsia="Arial" w:hAnsi="Arial"/>
          <w:sz w:val="18"/>
          <w:szCs w:val="18"/>
          <w:color w:val="333333"/>
        </w:rPr>
        <w:t>and internal control over financial reporting (as defined in Exchange Act Rules 13a-15(f) and 15d-15(f))</w:t>
      </w:r>
      <w:r>
        <w:rPr>
          <w:rFonts w:ascii="Arial" w:cs="Arial" w:eastAsia="Arial" w:hAnsi="Arial"/>
          <w:sz w:val="18"/>
          <w:szCs w:val="18"/>
          <w:color w:val="auto"/>
        </w:rPr>
        <w:t xml:space="preserve"> for the registrant and have:</w:t>
      </w:r>
    </w:p>
    <w:p>
      <w:pPr>
        <w:spacing w:after="0" w:line="163" w:lineRule="exact"/>
        <w:rPr>
          <w:sz w:val="20"/>
          <w:szCs w:val="20"/>
          <w:color w:val="auto"/>
        </w:rPr>
      </w:pPr>
    </w:p>
    <w:p>
      <w:pPr>
        <w:ind w:right="320" w:firstLine="645"/>
        <w:spacing w:after="0" w:line="25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Arial" w:cs="Arial" w:eastAsia="Arial" w:hAnsi="Arial"/>
          <w:sz w:val="18"/>
          <w:szCs w:val="18"/>
          <w:color w:val="auto"/>
        </w:rPr>
      </w:pPr>
    </w:p>
    <w:p>
      <w:pPr>
        <w:ind w:firstLine="645"/>
        <w:spacing w:after="0" w:line="256" w:lineRule="auto"/>
        <w:tabs>
          <w:tab w:leader="none" w:pos="8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Arial" w:cs="Arial" w:eastAsia="Arial" w:hAnsi="Arial"/>
          <w:sz w:val="18"/>
          <w:szCs w:val="18"/>
          <w:color w:val="auto"/>
        </w:rPr>
      </w:pPr>
    </w:p>
    <w:p>
      <w:pPr>
        <w:ind w:right="820" w:firstLine="645"/>
        <w:spacing w:after="0" w:line="330" w:lineRule="auto"/>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6"/>
          <w:szCs w:val="16"/>
          <w:color w:val="auto"/>
        </w:rPr>
      </w:pPr>
    </w:p>
    <w:p>
      <w:pPr>
        <w:ind w:right="140" w:firstLine="645"/>
        <w:spacing w:after="0" w:line="256" w:lineRule="auto"/>
        <w:tabs>
          <w:tab w:leader="none" w:pos="8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sz w:val="20"/>
          <w:szCs w:val="20"/>
          <w:color w:val="auto"/>
        </w:rPr>
      </w:pPr>
    </w:p>
    <w:p>
      <w:pPr>
        <w:ind w:right="260" w:firstLine="645"/>
        <w:spacing w:after="0" w:line="330" w:lineRule="auto"/>
        <w:tabs>
          <w:tab w:leader="none" w:pos="81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right="240" w:firstLine="645"/>
        <w:spacing w:after="0" w:line="26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8"/>
          <w:szCs w:val="18"/>
          <w:color w:val="auto"/>
        </w:rPr>
      </w:pPr>
    </w:p>
    <w:p>
      <w:pPr>
        <w:ind w:right="180" w:firstLine="645"/>
        <w:spacing w:after="0" w:line="266" w:lineRule="auto"/>
        <w:tabs>
          <w:tab w:leader="none" w:pos="8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35674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Larry Madden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 and Accounting Officer)</w:t>
      </w:r>
    </w:p>
    <w:p>
      <w:pPr>
        <w:sectPr>
          <w:pgSz w:w="11900" w:h="16838" w:orient="portrait"/>
          <w:cols w:equalWidth="0" w:num="1">
            <w:col w:w="11240"/>
          </w:cols>
          <w:pgMar w:left="320" w:top="1093"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Quarterly Report of Viant Technology Inc. (the “Company”) on Form 10-Q for the quarter ended June 30, 2023, as filed with the Securities and Exchange Commission on the date hereof (the “Report”), I certify, pursuant to 18 U.S.C. § 1350, as adopted pursuant to § 906 of the Sarbanes-Oxley Act of 2002, that:</w:t>
      </w:r>
    </w:p>
    <w:p>
      <w:pPr>
        <w:spacing w:after="0" w:line="150" w:lineRule="exact"/>
        <w:rPr>
          <w:sz w:val="20"/>
          <w:szCs w:val="20"/>
          <w:color w:val="auto"/>
        </w:rPr>
      </w:pPr>
    </w:p>
    <w:p>
      <w:pPr>
        <w:ind w:left="1280" w:hanging="635"/>
        <w:spacing w:after="0"/>
        <w:tabs>
          <w:tab w:leader="none" w:pos="12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3" w:lineRule="exact"/>
        <w:rPr>
          <w:rFonts w:ascii="Arial" w:cs="Arial" w:eastAsia="Arial" w:hAnsi="Arial"/>
          <w:sz w:val="17"/>
          <w:szCs w:val="17"/>
          <w:color w:val="auto"/>
        </w:rPr>
      </w:pPr>
    </w:p>
    <w:p>
      <w:pPr>
        <w:ind w:left="1280" w:right="420" w:hanging="635"/>
        <w:spacing w:after="0" w:line="266" w:lineRule="auto"/>
        <w:tabs>
          <w:tab w:leader="none" w:pos="1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460" w:type="dxa"/>
            <w:vAlign w:val="bottom"/>
          </w:tcPr>
          <w:p>
            <w:pPr>
              <w:spacing w:after="0"/>
              <w:rPr>
                <w:sz w:val="20"/>
                <w:szCs w:val="20"/>
                <w:color w:val="auto"/>
              </w:rPr>
            </w:pPr>
            <w:r>
              <w:rPr>
                <w:rFonts w:ascii="Arial" w:cs="Arial" w:eastAsia="Arial" w:hAnsi="Arial"/>
                <w:sz w:val="18"/>
                <w:szCs w:val="18"/>
                <w:color w:val="auto"/>
              </w:rPr>
              <w:t>Date: August 7, 2023</w:t>
            </w:r>
          </w:p>
        </w:tc>
        <w:tc>
          <w:tcPr>
            <w:tcW w:w="2420" w:type="dxa"/>
            <w:vAlign w:val="bottom"/>
          </w:tcPr>
          <w:p>
            <w:pPr>
              <w:ind w:left="196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Tim Vanderhook</w:t>
            </w:r>
          </w:p>
        </w:tc>
      </w:tr>
      <w:tr>
        <w:trPr>
          <w:trHeight w:val="219"/>
        </w:trPr>
        <w:tc>
          <w:tcPr>
            <w:tcW w:w="3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89"/>
              </w:rPr>
              <w:t>Tim Vanderhook</w:t>
            </w:r>
          </w:p>
        </w:tc>
      </w:tr>
      <w:tr>
        <w:trPr>
          <w:trHeight w:val="240"/>
        </w:trPr>
        <w:tc>
          <w:tcPr>
            <w:tcW w:w="3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Chairman</w:t>
            </w:r>
          </w:p>
        </w:tc>
      </w:tr>
      <w:tr>
        <w:trPr>
          <w:trHeight w:val="226"/>
        </w:trPr>
        <w:tc>
          <w:tcPr>
            <w:tcW w:w="3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2"/>
              </w:rPr>
              <w:t>(Principal Executive Officer)</w:t>
            </w:r>
          </w:p>
        </w:tc>
      </w:tr>
    </w:tbl>
    <w:p>
      <w:pPr>
        <w:sectPr>
          <w:pgSz w:w="11900" w:h="16838" w:orient="portrait"/>
          <w:cols w:equalWidth="0" w:num="1">
            <w:col w:w="11240"/>
          </w:cols>
          <w:pgMar w:left="320" w:top="1093"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Quarterly Report of Viant Technology Inc. (the “Company”) on Form 10-Q for the quarter ended June 30, 2023, as filed with the Securities and Exchange Commission on the date hereof (the “Report”), I certify, pursuant to 18 U.S.C. § 1350, as adopted pursuant to § 906 of the Sarbanes-Oxley Act of 2002, that:</w:t>
      </w:r>
    </w:p>
    <w:p>
      <w:pPr>
        <w:spacing w:after="0" w:line="150" w:lineRule="exact"/>
        <w:rPr>
          <w:sz w:val="20"/>
          <w:szCs w:val="20"/>
          <w:color w:val="auto"/>
        </w:rPr>
      </w:pPr>
    </w:p>
    <w:p>
      <w:pPr>
        <w:ind w:left="1280" w:hanging="635"/>
        <w:spacing w:after="0"/>
        <w:tabs>
          <w:tab w:leader="none" w:pos="12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3" w:lineRule="exact"/>
        <w:rPr>
          <w:rFonts w:ascii="Arial" w:cs="Arial" w:eastAsia="Arial" w:hAnsi="Arial"/>
          <w:sz w:val="17"/>
          <w:szCs w:val="17"/>
          <w:color w:val="auto"/>
        </w:rPr>
      </w:pPr>
    </w:p>
    <w:p>
      <w:pPr>
        <w:ind w:left="1280" w:right="420" w:hanging="635"/>
        <w:spacing w:after="0" w:line="266" w:lineRule="auto"/>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540" w:type="dxa"/>
            <w:vAlign w:val="bottom"/>
          </w:tcPr>
          <w:p>
            <w:pPr>
              <w:spacing w:after="0"/>
              <w:rPr>
                <w:sz w:val="20"/>
                <w:szCs w:val="20"/>
                <w:color w:val="auto"/>
              </w:rPr>
            </w:pPr>
            <w:r>
              <w:rPr>
                <w:rFonts w:ascii="Arial" w:cs="Arial" w:eastAsia="Arial" w:hAnsi="Arial"/>
                <w:sz w:val="18"/>
                <w:szCs w:val="18"/>
                <w:color w:val="auto"/>
              </w:rPr>
              <w:t>Date: August 7, 2023</w:t>
            </w:r>
          </w:p>
        </w:tc>
        <w:tc>
          <w:tcPr>
            <w:tcW w:w="2500" w:type="dxa"/>
            <w:vAlign w:val="bottom"/>
          </w:tcPr>
          <w:p>
            <w:pPr>
              <w:ind w:left="20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Larry Madden</w:t>
            </w:r>
          </w:p>
        </w:tc>
      </w:tr>
      <w:tr>
        <w:trPr>
          <w:trHeight w:val="219"/>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1"/>
              </w:rPr>
              <w:t>Larry Madden</w:t>
            </w:r>
          </w:p>
        </w:tc>
      </w:tr>
      <w:tr>
        <w:trPr>
          <w:trHeight w:val="240"/>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26"/>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2"/>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upperLetter"/>
      <w:start w:val="2"/>
    </w:lvl>
  </w:abstractNum>
  <w:abstractNum w:abstractNumId="10">
    <w:nsid w:val="3A95F874"/>
    <w:multiLevelType w:val="hybridMultilevel"/>
    <w:lvl w:ilvl="0">
      <w:lvlJc w:val="left"/>
      <w:lvlText w:val="%1."/>
      <w:numFmt w:val="decimal"/>
      <w:start w:val="3"/>
    </w:lvl>
  </w:abstractNum>
  <w:abstractNum w:abstractNumId="11">
    <w:nsid w:val="8138641"/>
    <w:multiLevelType w:val="hybridMultilevel"/>
    <w:lvl w:ilvl="0">
      <w:lvlJc w:val="left"/>
      <w:lvlText w:val="%1."/>
      <w:numFmt w:val="decimal"/>
      <w:start w:val="5"/>
    </w:lvl>
  </w:abstractNum>
  <w:abstractNum w:abstractNumId="12">
    <w:nsid w:val="1E7FF521"/>
    <w:multiLevelType w:val="hybridMultilevel"/>
    <w:lvl w:ilvl="0">
      <w:lvlJc w:val="left"/>
      <w:lvlText w:val="%1."/>
      <w:numFmt w:val="decimal"/>
      <w:start w:val="8"/>
    </w:lvl>
  </w:abstractNum>
  <w:abstractNum w:abstractNumId="13">
    <w:nsid w:val="7C3DBD3D"/>
    <w:multiLevelType w:val="hybridMultilevel"/>
    <w:lvl w:ilvl="0">
      <w:lvlJc w:val="left"/>
      <w:lvlText w:val="%1."/>
      <w:numFmt w:val="decimal"/>
      <w:start w:val="9"/>
    </w:lvl>
  </w:abstractNum>
  <w:abstractNum w:abstractNumId="14">
    <w:nsid w:val="737B8DDC"/>
    <w:multiLevelType w:val="hybridMultilevel"/>
    <w:lvl w:ilvl="0">
      <w:lvlJc w:val="left"/>
      <w:lvlText w:val="%1."/>
      <w:numFmt w:val="decimal"/>
      <w:start w:val="10"/>
    </w:lvl>
  </w:abstractNum>
  <w:abstractNum w:abstractNumId="15">
    <w:nsid w:val="6CEAF087"/>
    <w:multiLevelType w:val="hybridMultilevel"/>
    <w:lvl w:ilvl="0">
      <w:lvlJc w:val="left"/>
      <w:lvlText w:val="%1."/>
      <w:numFmt w:val="decimal"/>
      <w:start w:val="12"/>
    </w:lvl>
  </w:abstractNum>
  <w:abstractNum w:abstractNumId="16">
    <w:nsid w:val="22221A70"/>
    <w:multiLevelType w:val="hybridMultilevel"/>
    <w:lvl w:ilvl="0">
      <w:lvlJc w:val="left"/>
      <w:lvlText w:val="%1."/>
      <w:numFmt w:val="decimal"/>
      <w:start w:val="13"/>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lowerRoman"/>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5"/>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5"/>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06" Type="http://schemas.openxmlformats.org/officeDocument/2006/relationships/hyperlink" Target="http://www.sec.gov/Archives/edgar/data/1828791/000156459021014855/dsp-ex31_279.htm" TargetMode="External"/><Relationship Id="rId107" Type="http://schemas.openxmlformats.org/officeDocument/2006/relationships/hyperlink" Target="http://www.sec.gov/Archives/edgar/data/1828791/000156459021014855/dsp-ex32_278.htm" TargetMode="External"/><Relationship Id="rId108" Type="http://schemas.openxmlformats.org/officeDocument/2006/relationships/hyperlink" Target="https://www.sec.gov/Archives/edgar/data/1828791/000182879123000030/redline-conformedcredit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2023-08-07T15:55:06Z</dcterms:created>
  <dcterms:modified xsi:type="dcterms:W3CDTF">2023-08-07T15:55:06Z</dcterms:modified>
</cp:coreProperties>
</file>