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657225</wp:posOffset>
            </wp:positionH>
            <wp:positionV relativeFrom="page">
              <wp:posOffset>473075</wp:posOffset>
            </wp:positionV>
            <wp:extent cx="65347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785" cy="8255"/>
                    </a:xfrm>
                    <a:prstGeom prst="rect">
                      <a:avLst/>
                    </a:prstGeom>
                    <a:noFill/>
                  </pic:spPr>
                </pic:pic>
              </a:graphicData>
            </a:graphic>
          </wp:anchor>
        </w:drawing>
        <w:drawing>
          <wp:anchor simplePos="0" relativeHeight="251657728" behindDoc="1" locked="0" layoutInCell="0" allowOverlap="1">
            <wp:simplePos x="0" y="0"/>
            <wp:positionH relativeFrom="page">
              <wp:posOffset>657225</wp:posOffset>
            </wp:positionH>
            <wp:positionV relativeFrom="page">
              <wp:posOffset>497840</wp:posOffset>
            </wp:positionV>
            <wp:extent cx="6534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255"/>
                    </a:xfrm>
                    <a:prstGeom prst="rect">
                      <a:avLst/>
                    </a:prstGeom>
                    <a:noFill/>
                  </pic:spPr>
                </pic:pic>
              </a:graphicData>
            </a:graphic>
          </wp:anchor>
        </w:drawing>
        <w:t>UNITED STATES</w:t>
      </w:r>
    </w:p>
    <w:p>
      <w:pPr>
        <w:spacing w:after="0" w:line="3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8"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3"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4" w:lineRule="exact"/>
        <w:rPr>
          <w:sz w:val="24"/>
          <w:szCs w:val="24"/>
          <w:color w:val="auto"/>
        </w:rPr>
      </w:pPr>
    </w:p>
    <w:p>
      <w:pPr>
        <w:ind w:left="1160" w:hanging="428"/>
        <w:spacing w:after="0"/>
        <w:tabs>
          <w:tab w:leader="none" w:pos="11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5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ind w:left="1160" w:hanging="428"/>
        <w:spacing w:after="0"/>
        <w:tabs>
          <w:tab w:leader="none" w:pos="11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7"/>
              </w:rPr>
              <w:t>For the transition period from_______to_______</w:t>
            </w:r>
          </w:p>
        </w:tc>
      </w:tr>
      <w:tr>
        <w:trPr>
          <w:trHeight w:val="250"/>
        </w:trPr>
        <w:tc>
          <w:tcPr>
            <w:tcW w:w="2300" w:type="dxa"/>
            <w:vAlign w:val="bottom"/>
          </w:tcPr>
          <w:p>
            <w:pPr>
              <w:spacing w:after="0"/>
              <w:rPr>
                <w:sz w:val="21"/>
                <w:szCs w:val="21"/>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6"/>
              </w:rPr>
              <w:t>Commission File Number: 001-40015</w:t>
            </w:r>
          </w:p>
        </w:tc>
      </w:tr>
      <w:tr>
        <w:trPr>
          <w:trHeight w:val="69"/>
        </w:trPr>
        <w:tc>
          <w:tcPr>
            <w:tcW w:w="2300" w:type="dxa"/>
            <w:vAlign w:val="bottom"/>
          </w:tcPr>
          <w:p>
            <w:pPr>
              <w:spacing w:after="0"/>
              <w:rPr>
                <w:sz w:val="5"/>
                <w:szCs w:val="5"/>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989"/>
        </w:trPr>
        <w:tc>
          <w:tcPr>
            <w:tcW w:w="2300" w:type="dxa"/>
            <w:vAlign w:val="bottom"/>
          </w:tcPr>
          <w:p>
            <w:pPr>
              <w:spacing w:after="0"/>
              <w:rPr>
                <w:sz w:val="24"/>
                <w:szCs w:val="24"/>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21"/>
                <w:szCs w:val="21"/>
                <w:b w:val="1"/>
                <w:bCs w:val="1"/>
                <w:color w:val="auto"/>
                <w:w w:val="98"/>
              </w:rPr>
              <w:t>Viant Technology Inc.</w:t>
            </w:r>
          </w:p>
        </w:tc>
      </w:tr>
      <w:tr>
        <w:trPr>
          <w:trHeight w:val="217"/>
        </w:trPr>
        <w:tc>
          <w:tcPr>
            <w:tcW w:w="2300" w:type="dxa"/>
            <w:vAlign w:val="bottom"/>
          </w:tcPr>
          <w:p>
            <w:pPr>
              <w:spacing w:after="0"/>
              <w:rPr>
                <w:sz w:val="18"/>
                <w:szCs w:val="18"/>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69"/>
        </w:trPr>
        <w:tc>
          <w:tcPr>
            <w:tcW w:w="2300" w:type="dxa"/>
            <w:vAlign w:val="bottom"/>
          </w:tcPr>
          <w:p>
            <w:pPr>
              <w:spacing w:after="0"/>
              <w:rPr>
                <w:sz w:val="5"/>
                <w:szCs w:val="5"/>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294"/>
        </w:trPr>
        <w:tc>
          <w:tcPr>
            <w:tcW w:w="2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260" w:type="dxa"/>
            <w:vAlign w:val="bottom"/>
          </w:tcPr>
          <w:p>
            <w:pPr>
              <w:jc w:val="center"/>
              <w:ind w:left="4883"/>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184"/>
        </w:trPr>
        <w:tc>
          <w:tcPr>
            <w:tcW w:w="2300" w:type="dxa"/>
            <w:vAlign w:val="bottom"/>
          </w:tcPr>
          <w:p>
            <w:pPr>
              <w:jc w:val="center"/>
              <w:ind w:right="112"/>
              <w:spacing w:after="0" w:line="184" w:lineRule="exact"/>
              <w:rPr>
                <w:sz w:val="20"/>
                <w:szCs w:val="20"/>
                <w:color w:val="auto"/>
              </w:rPr>
            </w:pPr>
            <w:r>
              <w:rPr>
                <w:rFonts w:ascii="Times New Roman" w:cs="Times New Roman" w:eastAsia="Times New Roman" w:hAnsi="Times New Roman"/>
                <w:sz w:val="18"/>
                <w:szCs w:val="18"/>
                <w:color w:val="auto"/>
                <w:w w:val="96"/>
              </w:rPr>
              <w:t>(State or other jurisdiction of</w:t>
            </w:r>
          </w:p>
        </w:tc>
        <w:tc>
          <w:tcPr>
            <w:tcW w:w="6260" w:type="dxa"/>
            <w:vAlign w:val="bottom"/>
          </w:tcPr>
          <w:p>
            <w:pPr>
              <w:jc w:val="center"/>
              <w:ind w:left="4883"/>
              <w:spacing w:after="0" w:line="184" w:lineRule="exact"/>
              <w:rPr>
                <w:sz w:val="20"/>
                <w:szCs w:val="20"/>
                <w:color w:val="auto"/>
              </w:rPr>
            </w:pPr>
            <w:r>
              <w:rPr>
                <w:rFonts w:ascii="Times New Roman" w:cs="Times New Roman" w:eastAsia="Times New Roman" w:hAnsi="Times New Roman"/>
                <w:sz w:val="18"/>
                <w:szCs w:val="18"/>
                <w:color w:val="auto"/>
                <w:w w:val="95"/>
              </w:rPr>
              <w:t>(I.R.S. Employer</w:t>
            </w:r>
          </w:p>
        </w:tc>
      </w:tr>
      <w:tr>
        <w:trPr>
          <w:trHeight w:val="228"/>
        </w:trPr>
        <w:tc>
          <w:tcPr>
            <w:tcW w:w="23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incorporation or organization)</w:t>
            </w:r>
          </w:p>
        </w:tc>
        <w:tc>
          <w:tcPr>
            <w:tcW w:w="6260" w:type="dxa"/>
            <w:vAlign w:val="bottom"/>
          </w:tcPr>
          <w:p>
            <w:pPr>
              <w:jc w:val="center"/>
              <w:ind w:left="4883"/>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217"/>
        </w:trPr>
        <w:tc>
          <w:tcPr>
            <w:tcW w:w="2300" w:type="dxa"/>
            <w:vAlign w:val="bottom"/>
          </w:tcPr>
          <w:p>
            <w:pPr>
              <w:spacing w:after="0"/>
              <w:rPr>
                <w:sz w:val="18"/>
                <w:szCs w:val="18"/>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7"/>
              </w:rPr>
              <w:t>2722 Michelson Drive, Suite 100</w:t>
            </w:r>
          </w:p>
        </w:tc>
      </w:tr>
      <w:tr>
        <w:trPr>
          <w:trHeight w:val="230"/>
        </w:trPr>
        <w:tc>
          <w:tcPr>
            <w:tcW w:w="2300" w:type="dxa"/>
            <w:vAlign w:val="bottom"/>
          </w:tcPr>
          <w:p>
            <w:pPr>
              <w:spacing w:after="0"/>
              <w:rPr>
                <w:sz w:val="20"/>
                <w:szCs w:val="20"/>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7"/>
              </w:rPr>
              <w:t>Irvine, CA 92612</w:t>
            </w:r>
          </w:p>
        </w:tc>
      </w:tr>
      <w:tr>
        <w:trPr>
          <w:trHeight w:val="250"/>
        </w:trPr>
        <w:tc>
          <w:tcPr>
            <w:tcW w:w="2300" w:type="dxa"/>
            <w:vAlign w:val="bottom"/>
          </w:tcPr>
          <w:p>
            <w:pPr>
              <w:spacing w:after="0"/>
              <w:rPr>
                <w:sz w:val="21"/>
                <w:szCs w:val="21"/>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color w:val="auto"/>
                <w:w w:val="97"/>
              </w:rPr>
              <w:t>(Address of principal executive offices and zip code)</w:t>
            </w:r>
          </w:p>
        </w:tc>
      </w:tr>
      <w:tr>
        <w:trPr>
          <w:trHeight w:val="337"/>
        </w:trPr>
        <w:tc>
          <w:tcPr>
            <w:tcW w:w="2300" w:type="dxa"/>
            <w:vAlign w:val="bottom"/>
          </w:tcPr>
          <w:p>
            <w:pPr>
              <w:spacing w:after="0"/>
              <w:rPr>
                <w:sz w:val="24"/>
                <w:szCs w:val="24"/>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5"/>
              </w:rPr>
              <w:t>(949) 861-8888</w:t>
            </w:r>
          </w:p>
        </w:tc>
      </w:tr>
      <w:tr>
        <w:trPr>
          <w:trHeight w:val="215"/>
        </w:trPr>
        <w:tc>
          <w:tcPr>
            <w:tcW w:w="2300" w:type="dxa"/>
            <w:vAlign w:val="bottom"/>
          </w:tcPr>
          <w:p>
            <w:pPr>
              <w:spacing w:after="0"/>
              <w:rPr>
                <w:sz w:val="18"/>
                <w:szCs w:val="18"/>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r>
      <w:tr>
        <w:trPr>
          <w:trHeight w:val="69"/>
        </w:trPr>
        <w:tc>
          <w:tcPr>
            <w:tcW w:w="2300" w:type="dxa"/>
            <w:vAlign w:val="bottom"/>
          </w:tcPr>
          <w:p>
            <w:pPr>
              <w:spacing w:after="0"/>
              <w:rPr>
                <w:sz w:val="5"/>
                <w:szCs w:val="5"/>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2816225</wp:posOffset>
            </wp:positionH>
            <wp:positionV relativeFrom="paragraph">
              <wp:posOffset>-2021205</wp:posOffset>
            </wp:positionV>
            <wp:extent cx="1811020" cy="316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1020" cy="316865"/>
                    </a:xfrm>
                    <a:prstGeom prst="rect">
                      <a:avLst/>
                    </a:prstGeom>
                    <a:noFill/>
                  </pic:spPr>
                </pic:pic>
              </a:graphicData>
            </a:graphic>
          </wp:anchor>
        </w:drawing>
      </w:r>
    </w:p>
    <w:p>
      <w:pPr>
        <w:spacing w:after="0" w:line="8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720" w:type="dxa"/>
        <w:tblCellMar>
          <w:top w:w="0" w:type="dxa"/>
          <w:left w:w="0" w:type="dxa"/>
          <w:bottom w:w="0" w:type="dxa"/>
          <w:right w:w="0" w:type="dxa"/>
        </w:tblCellMar>
      </w:tblPr>
      <w:tr>
        <w:trPr>
          <w:trHeight w:val="211"/>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53"/>
        </w:trPr>
        <w:tc>
          <w:tcPr>
            <w:tcW w:w="33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Class A common stock, par value $0.001 per share</w:t>
            </w:r>
          </w:p>
        </w:tc>
        <w:tc>
          <w:tcPr>
            <w:tcW w:w="10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rPr>
              <w:t>DSP</w:t>
            </w:r>
          </w:p>
        </w:tc>
        <w:tc>
          <w:tcPr>
            <w:tcW w:w="100" w:type="dxa"/>
            <w:vAlign w:val="bottom"/>
          </w:tcPr>
          <w:p>
            <w:pPr>
              <w:spacing w:after="0"/>
              <w:rPr>
                <w:sz w:val="13"/>
                <w:szCs w:val="13"/>
                <w:color w:val="auto"/>
              </w:rPr>
            </w:pPr>
          </w:p>
        </w:tc>
        <w:tc>
          <w:tcPr>
            <w:tcW w:w="33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r>
    </w:tbl>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preceding 12 months (or for such shorter period that the registrant was required to file such reports), and (2) has been subject to such filing requirements for the past 90 days. Yes</w:t>
      </w:r>
    </w:p>
    <w:p>
      <w:pPr>
        <w:spacing w:after="0" w:line="16" w:lineRule="exact"/>
        <w:rPr>
          <w:sz w:val="24"/>
          <w:szCs w:val="24"/>
          <w:color w:val="auto"/>
        </w:rPr>
      </w:pPr>
    </w:p>
    <w:p>
      <w:pPr>
        <w:ind w:left="340" w:hanging="335"/>
        <w:spacing w:after="0"/>
        <w:tabs>
          <w:tab w:leader="none" w:pos="34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180" w:firstLine="473"/>
        <w:spacing w:after="0" w:line="26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1" w:lineRule="exact"/>
        <w:rPr>
          <w:sz w:val="24"/>
          <w:szCs w:val="24"/>
          <w:color w:val="auto"/>
        </w:rPr>
      </w:pPr>
    </w:p>
    <w:p>
      <w:pPr>
        <w:jc w:val="both"/>
        <w:ind w:right="40" w:firstLine="473"/>
        <w:spacing w:after="0" w:line="30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1520"/>
              <w:spacing w:after="0"/>
              <w:rPr>
                <w:sz w:val="20"/>
                <w:szCs w:val="20"/>
                <w:color w:val="auto"/>
              </w:rPr>
            </w:pPr>
            <w:r>
              <w:rPr>
                <w:rFonts w:ascii="Wingdings" w:cs="Wingdings" w:eastAsia="Wingdings" w:hAnsi="Wingdings"/>
                <w:sz w:val="16"/>
                <w:szCs w:val="16"/>
                <w:b w:val="1"/>
                <w:bCs w:val="1"/>
                <w:color w:val="auto"/>
              </w:rPr>
              <w:t>o</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80" w:type="dxa"/>
            <w:vAlign w:val="bottom"/>
          </w:tcPr>
          <w:p>
            <w:pPr>
              <w:ind w:left="1500"/>
              <w:spacing w:after="0"/>
              <w:rPr>
                <w:sz w:val="20"/>
                <w:szCs w:val="20"/>
                <w:color w:val="auto"/>
              </w:rPr>
            </w:pPr>
            <w:r>
              <w:rPr>
                <w:rFonts w:ascii="Wingdings" w:cs="Wingdings" w:eastAsia="Wingdings" w:hAnsi="Wingdings"/>
                <w:sz w:val="16"/>
                <w:szCs w:val="16"/>
                <w:b w:val="1"/>
                <w:bCs w:val="1"/>
                <w:color w:val="auto"/>
                <w:w w:val="94"/>
              </w:rPr>
              <w:t>x</w:t>
            </w: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00" w:type="dxa"/>
            <w:vAlign w:val="bottom"/>
          </w:tcPr>
          <w:p>
            <w:pPr>
              <w:ind w:left="1520"/>
              <w:spacing w:after="0"/>
              <w:rPr>
                <w:sz w:val="20"/>
                <w:szCs w:val="20"/>
                <w:color w:val="auto"/>
              </w:rPr>
            </w:pPr>
            <w:r>
              <w:rPr>
                <w:rFonts w:ascii="Wingdings" w:cs="Wingdings" w:eastAsia="Wingdings" w:hAnsi="Wingdings"/>
                <w:sz w:val="16"/>
                <w:szCs w:val="16"/>
                <w:b w:val="1"/>
                <w:bCs w:val="1"/>
                <w:color w:val="auto"/>
              </w:rPr>
              <w:t>o</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80" w:type="dxa"/>
            <w:vAlign w:val="bottom"/>
          </w:tcPr>
          <w:p>
            <w:pPr>
              <w:ind w:left="1500"/>
              <w:spacing w:after="0"/>
              <w:rPr>
                <w:sz w:val="20"/>
                <w:szCs w:val="20"/>
                <w:color w:val="auto"/>
              </w:rPr>
            </w:pPr>
            <w:r>
              <w:rPr>
                <w:rFonts w:ascii="Wingdings" w:cs="Wingdings" w:eastAsia="Wingdings" w:hAnsi="Wingdings"/>
                <w:sz w:val="16"/>
                <w:szCs w:val="16"/>
                <w:b w:val="1"/>
                <w:bCs w:val="1"/>
                <w:color w:val="auto"/>
                <w:w w:val="94"/>
              </w:rPr>
              <w:t>x</w:t>
            </w: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500"/>
              <w:spacing w:after="0"/>
              <w:rPr>
                <w:sz w:val="20"/>
                <w:szCs w:val="20"/>
                <w:color w:val="auto"/>
              </w:rPr>
            </w:pPr>
            <w:r>
              <w:rPr>
                <w:rFonts w:ascii="Wingdings" w:cs="Wingdings" w:eastAsia="Wingdings" w:hAnsi="Wingdings"/>
                <w:sz w:val="16"/>
                <w:szCs w:val="16"/>
                <w:b w:val="1"/>
                <w:bCs w:val="1"/>
                <w:color w:val="auto"/>
              </w:rPr>
              <w:t>x</w:t>
            </w:r>
          </w:p>
        </w:tc>
        <w:tc>
          <w:tcPr>
            <w:tcW w:w="334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22" w:lineRule="exact"/>
        <w:rPr>
          <w:sz w:val="24"/>
          <w:szCs w:val="24"/>
          <w:color w:val="auto"/>
        </w:rPr>
      </w:pPr>
    </w:p>
    <w:p>
      <w:pPr>
        <w:ind w:right="360" w:firstLine="473"/>
        <w:spacing w:after="0" w:line="28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66" w:lineRule="exact"/>
        <w:rPr>
          <w:sz w:val="24"/>
          <w:szCs w:val="24"/>
          <w:color w:val="auto"/>
        </w:rPr>
      </w:pPr>
    </w:p>
    <w:p>
      <w:pPr>
        <w:ind w:right="360" w:firstLine="473"/>
        <w:spacing w:after="0" w:line="269" w:lineRule="auto"/>
        <w:rPr>
          <w:sz w:val="20"/>
          <w:szCs w:val="20"/>
          <w:color w:val="auto"/>
        </w:rPr>
      </w:pPr>
      <w:r>
        <w:rPr>
          <w:rFonts w:ascii="Times New Roman" w:cs="Times New Roman" w:eastAsia="Times New Roman" w:hAnsi="Times New Roman"/>
          <w:sz w:val="16"/>
          <w:szCs w:val="16"/>
          <w:color w:val="auto"/>
        </w:rPr>
        <w:t>As of August 8, 2025, there were 16,254,640 shares and 46,696,493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393700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88900</wp:posOffset>
            </wp:positionV>
            <wp:extent cx="6534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114300</wp:posOffset>
            </wp:positionV>
            <wp:extent cx="653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8255"/>
                    </a:xfrm>
                    <a:prstGeom prst="rect">
                      <a:avLst/>
                    </a:prstGeom>
                    <a:noFill/>
                  </pic:spPr>
                </pic:pic>
              </a:graphicData>
            </a:graphic>
          </wp:anchor>
        </w:drawing>
      </w:r>
    </w:p>
    <w:p>
      <w:pPr>
        <w:sectPr>
          <w:pgSz w:w="11900" w:h="16838" w:orient="portrait"/>
          <w:cols w:equalWidth="0" w:num="1">
            <w:col w:w="11200"/>
          </w:cols>
          <w:pgMar w:left="320" w:top="897" w:right="379" w:bottom="1440" w:gutter="0" w:footer="0" w:header="0"/>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74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40" w:type="dxa"/>
            <w:vAlign w:val="bottom"/>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5"/>
              </w:rPr>
              <w:t>FINANCIAL INFORMATION</w:t>
            </w:r>
          </w:p>
        </w:tc>
        <w:tc>
          <w:tcPr>
            <w:tcW w:w="520" w:type="dxa"/>
            <w:vAlign w:val="bottom"/>
            <w:tcBorders>
              <w:top w:val="single" w:sz="8" w:color="0000FF"/>
            </w:tcBorders>
            <w:gridSpan w:val="2"/>
          </w:tcPr>
          <w:p>
            <w:pPr>
              <w:spacing w:after="0"/>
              <w:rPr>
                <w:sz w:val="24"/>
                <w:szCs w:val="24"/>
                <w:color w:val="auto"/>
              </w:rPr>
            </w:pPr>
          </w:p>
        </w:tc>
        <w:tc>
          <w:tcPr>
            <w:tcW w:w="600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Condensed Consolidated Statements of Operations</w:t>
            </w:r>
          </w:p>
        </w:tc>
        <w:tc>
          <w:tcPr>
            <w:tcW w:w="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Condensed Consolidated Balance Sheets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1"/>
          </w:tcPr>
          <w:p>
            <w:pPr>
              <w:ind w:left="100"/>
              <w:spacing w:after="0" w:line="203" w:lineRule="exact"/>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Condensed Consolidated Statements of Stockholders' Equity</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1"/>
          </w:tcPr>
          <w:p>
            <w:pPr>
              <w:ind w:left="100"/>
              <w:spacing w:after="0" w:line="203" w:lineRule="exact"/>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FF"/>
              </w:rPr>
              <w:t>Condensed Consolidated Statements of Cash Flows</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1"/>
          </w:tcPr>
          <w:p>
            <w:pPr>
              <w:ind w:left="100"/>
              <w:spacing w:after="0" w:line="203" w:lineRule="exact"/>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FF"/>
              </w:rPr>
              <w:t>Notes to the Condensed Consolidated Financial Statements</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FF"/>
              <w:bottom w:val="single" w:sz="8" w:color="0000FF"/>
            </w:tcBorders>
            <w:gridSpan w:val="17"/>
          </w:tcPr>
          <w:p>
            <w:pPr>
              <w:spacing w:after="0" w:line="203"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20" w:type="dxa"/>
            <w:vAlign w:val="bottom"/>
            <w:tcBorders>
              <w:top w:val="single" w:sz="8" w:color="0000FF"/>
            </w:tcBorders>
            <w:gridSpan w:val="3"/>
          </w:tcPr>
          <w:p>
            <w:pPr>
              <w:spacing w:after="0"/>
              <w:rPr>
                <w:sz w:val="17"/>
                <w:szCs w:val="17"/>
                <w:color w:val="auto"/>
              </w:rPr>
            </w:pPr>
          </w:p>
        </w:tc>
        <w:tc>
          <w:tcPr>
            <w:tcW w:w="24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74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688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6"/>
          </w:tcPr>
          <w:p>
            <w:pPr>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7420" w:type="dxa"/>
            <w:vAlign w:val="bottom"/>
            <w:gridSpan w:val="15"/>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FF"/>
            </w:tcBorders>
            <w:gridSpan w:val="16"/>
          </w:tcPr>
          <w:p>
            <w:pPr>
              <w:spacing w:after="0" w:line="203"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480" w:type="dxa"/>
            <w:vAlign w:val="bottom"/>
            <w:gridSpan w:val="5"/>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3.</w:t>
            </w:r>
          </w:p>
        </w:tc>
        <w:tc>
          <w:tcPr>
            <w:tcW w:w="872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2260" w:type="dxa"/>
            <w:vAlign w:val="bottom"/>
            <w:tcBorders>
              <w:top w:val="single" w:sz="8" w:color="0000FF"/>
            </w:tcBorders>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Mine Safety Disclosures</w:t>
            </w:r>
          </w:p>
        </w:tc>
        <w:tc>
          <w:tcPr>
            <w:tcW w:w="6460" w:type="dxa"/>
            <w:vAlign w:val="bottom"/>
            <w:gridSpan w:val="10"/>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5.</w:t>
            </w:r>
          </w:p>
        </w:tc>
        <w:tc>
          <w:tcPr>
            <w:tcW w:w="1720" w:type="dxa"/>
            <w:vAlign w:val="bottom"/>
            <w:tcBorders>
              <w:top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7000" w:type="dxa"/>
            <w:vAlign w:val="bottom"/>
            <w:gridSpan w:val="13"/>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5"/>
          </w:tcPr>
          <w:p>
            <w:pPr>
              <w:spacing w:after="0" w:line="203" w:lineRule="exact"/>
              <w:rPr>
                <w:sz w:val="20"/>
                <w:szCs w:val="20"/>
                <w:color w:val="auto"/>
              </w:rPr>
            </w:pPr>
            <w:r>
              <w:rPr>
                <w:rFonts w:ascii="Times New Roman" w:cs="Times New Roman" w:eastAsia="Times New Roman" w:hAnsi="Times New Roman"/>
                <w:sz w:val="18"/>
                <w:szCs w:val="18"/>
                <w:color w:val="0000FF"/>
              </w:rPr>
              <w:t>Exhibits</w:t>
            </w:r>
          </w:p>
        </w:tc>
        <w:tc>
          <w:tcPr>
            <w:tcW w:w="7440" w:type="dxa"/>
            <w:vAlign w:val="bottom"/>
            <w:gridSpan w:val="16"/>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9"/>
        </w:trPr>
        <w:tc>
          <w:tcPr>
            <w:tcW w:w="7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gridSpan w:val="16"/>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108" w:lineRule="exact"/>
        <w:rPr>
          <w:sz w:val="20"/>
          <w:szCs w:val="20"/>
          <w:color w:val="auto"/>
        </w:rPr>
      </w:pPr>
    </w:p>
    <w:p>
      <w:pPr>
        <w:ind w:right="20"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(the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and Section 21E of the Securities Exchange Act of 1934, as amended (the “Exchange Act”), which statements involve substantial risks and uncertainties.</w:t>
      </w:r>
    </w:p>
    <w:p>
      <w:pPr>
        <w:spacing w:after="0" w:line="71" w:lineRule="exact"/>
        <w:rPr>
          <w:sz w:val="20"/>
          <w:szCs w:val="20"/>
          <w:color w:val="auto"/>
        </w:rPr>
      </w:pPr>
    </w:p>
    <w:p>
      <w:pPr>
        <w:ind w:right="60" w:firstLine="473"/>
        <w:spacing w:after="0" w:line="279" w:lineRule="auto"/>
        <w:rPr>
          <w:sz w:val="20"/>
          <w:szCs w:val="20"/>
          <w:color w:val="auto"/>
        </w:rPr>
      </w:pPr>
      <w:r>
        <w:rPr>
          <w:rFonts w:ascii="Times New Roman" w:cs="Times New Roman" w:eastAsia="Times New Roman" w:hAnsi="Times New Roman"/>
          <w:sz w:val="16"/>
          <w:szCs w:val="16"/>
          <w:i w:val="1"/>
          <w:iCs w:val="1"/>
          <w:color w:val="auto"/>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product strategy, including our expectations relating to ViantAI;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payments under our Tax Receivable Agreement; potential impacts from changes in applicable tax laws and other legislation; repurchases of stock related to the stock repurchase program; our ability to attract new customers and retain existing customers; our ability to successfully expand into our existing markets and into new markets; our ability to effectively manage our growth and future expenses; our environmental and sustainability initiatives; and the impact of recent accounting pronouncements on our unaudited condensed consolidated financial statements.</w:t>
      </w:r>
    </w:p>
    <w:p>
      <w:pPr>
        <w:spacing w:after="0" w:line="272"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85" w:lineRule="exact"/>
        <w:rPr>
          <w:sz w:val="20"/>
          <w:szCs w:val="20"/>
          <w:color w:val="auto"/>
        </w:rPr>
      </w:pPr>
    </w:p>
    <w:p>
      <w:pPr>
        <w:ind w:firstLine="473"/>
        <w:spacing w:after="0" w:line="286" w:lineRule="auto"/>
        <w:rPr>
          <w:sz w:val="20"/>
          <w:szCs w:val="20"/>
          <w:color w:val="auto"/>
        </w:rPr>
      </w:pPr>
      <w:r>
        <w:rPr>
          <w:rFonts w:ascii="Times New Roman" w:cs="Times New Roman" w:eastAsia="Times New Roman" w:hAnsi="Times New Roman"/>
          <w:sz w:val="16"/>
          <w:szCs w:val="16"/>
          <w:i w:val="1"/>
          <w:iCs w:val="1"/>
          <w:color w:val="auto"/>
        </w:rPr>
        <w:t>We may use the "Investor Relations" section of our website, our LinkedIn account, the LinkedIn account of our Chief Executive Officer, Tim Vanderhook, the LinkedIn account of our Chief Operating Officer, Chris Vanderhook, our X (formerly known as Twitter)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51" w:lineRule="exact"/>
        <w:rPr>
          <w:sz w:val="20"/>
          <w:szCs w:val="20"/>
          <w:color w:val="auto"/>
        </w:rPr>
      </w:pPr>
    </w:p>
    <w:p>
      <w:pPr>
        <w:ind w:right="20" w:firstLine="473"/>
        <w:spacing w:after="0" w:line="294" w:lineRule="auto"/>
        <w:rPr>
          <w:sz w:val="20"/>
          <w:szCs w:val="20"/>
          <w:color w:val="auto"/>
        </w:rPr>
      </w:pPr>
      <w:r>
        <w:rPr>
          <w:rFonts w:ascii="Times New Roman" w:cs="Times New Roman" w:eastAsia="Times New Roman" w:hAnsi="Times New Roman"/>
          <w:sz w:val="16"/>
          <w:szCs w:val="16"/>
          <w:i w:val="1"/>
          <w:iCs w:val="1"/>
          <w:color w:val="auto"/>
        </w:rPr>
        <w:t>Additionally, certain information we may disclose (either here or in other locations, such as our website) is informed by the expectations of various stakeholders and/or third-party frameworks and, as such, may not necessarily be material for purposes of our filings under U.S. federal securities laws, even if we use “material” or similar language in discussing such matters. Particularly in the environmental, social and governance ("ESG") context, for example, there are various approaches to materiality that differ from, and in many cases are more expansive than, the definition under U.S. federal securities laws.</w:t>
      </w:r>
    </w:p>
    <w:p>
      <w:pPr>
        <w:spacing w:after="0" w:line="36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5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800" w:top="1328"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7"/>
                <w:szCs w:val="17"/>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3"/>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0"/>
        </w:trPr>
        <w:tc>
          <w:tcPr>
            <w:tcW w:w="7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3"/>
        </w:trPr>
        <w:tc>
          <w:tcPr>
            <w:tcW w:w="72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205,048</w:t>
            </w:r>
          </w:p>
        </w:tc>
      </w:tr>
      <w:tr>
        <w:trPr>
          <w:trHeight w:val="223"/>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146,951</w:t>
            </w: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r>
      <w:tr>
        <w:trPr>
          <w:trHeight w:val="217"/>
        </w:trPr>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362,489</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17"/>
        </w:trPr>
        <w:tc>
          <w:tcPr>
            <w:tcW w:w="7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397,972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440,804</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72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71,320</w:t>
            </w: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47,352</w:t>
            </w:r>
          </w:p>
        </w:tc>
      </w:tr>
      <w:tr>
        <w:trPr>
          <w:trHeight w:val="223"/>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17"/>
        </w:trPr>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145,451</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21,278</w:t>
            </w:r>
          </w:p>
        </w:tc>
      </w:tr>
      <w:tr>
        <w:trPr>
          <w:trHeight w:val="217"/>
        </w:trPr>
        <w:tc>
          <w:tcPr>
            <w:tcW w:w="7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166,729</w:t>
            </w:r>
          </w:p>
        </w:tc>
      </w:tr>
      <w:tr>
        <w:trPr>
          <w:trHeight w:val="203"/>
        </w:trPr>
        <w:tc>
          <w:tcPr>
            <w:tcW w:w="7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 18,233,793 and 17,933,825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 16,251,978 and 16,368,452</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 46,696,493 and 46,753,841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125,386</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(50,566)</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1,981,815 and 1,565,373 shares held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w:t>
            </w:r>
          </w:p>
        </w:tc>
      </w:tr>
      <w:tr>
        <w:trPr>
          <w:trHeight w:val="217"/>
        </w:trPr>
        <w:tc>
          <w:tcPr>
            <w:tcW w:w="7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53,839</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220,236</w:t>
            </w:r>
          </w:p>
        </w:tc>
      </w:tr>
      <w:tr>
        <w:trPr>
          <w:trHeight w:val="217"/>
        </w:trPr>
        <w:tc>
          <w:tcPr>
            <w:tcW w:w="7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255,603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274,075</w:t>
            </w:r>
          </w:p>
        </w:tc>
      </w:tr>
      <w:tr>
        <w:trPr>
          <w:trHeight w:val="217"/>
        </w:trPr>
        <w:tc>
          <w:tcPr>
            <w:tcW w:w="7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397,972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440,804</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280"/>
          </w:cols>
          <w:pgMar w:left="1040" w:top="119" w:right="57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960" w:type="dxa"/>
            <w:vAlign w:val="bottom"/>
            <w:gridSpan w:val="4"/>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9"/>
              </w:rPr>
              <w:t>18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9"/>
              </w:rPr>
              <w:t>47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128,559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(64,660)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221,064</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257,515</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2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2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units</w:t>
            </w: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Class A common stock</w:t>
            </w: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420" w:type="dxa"/>
            <w:vAlign w:val="bottom"/>
            <w:shd w:val="clear" w:color="auto" w:fill="CCEEFF"/>
          </w:tcPr>
          <w:p>
            <w:pPr>
              <w:ind w:left="240"/>
              <w:spacing w:after="0" w:line="141"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2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2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Repurchase of stock related to the</w:t>
            </w:r>
          </w:p>
        </w:tc>
        <w:tc>
          <w:tcPr>
            <w:tcW w:w="2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(11,397)</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2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9"/>
              </w:rPr>
              <w:t>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46,696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9"/>
              </w:rPr>
              <w:t>47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228,126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255,603</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0"/>
                <w:szCs w:val="10"/>
                <w:color w:val="auto"/>
              </w:rPr>
            </w:pPr>
          </w:p>
        </w:tc>
        <w:tc>
          <w:tcPr>
            <w:tcW w:w="960" w:type="dxa"/>
            <w:vAlign w:val="bottom"/>
            <w:gridSpan w:val="4"/>
          </w:tcPr>
          <w:p>
            <w:pPr>
              <w:jc w:val="right"/>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1420" w:type="dxa"/>
            <w:vAlign w:val="bottom"/>
            <w:tcBorders>
              <w:bottom w:val="single" w:sz="8" w:color="auto"/>
            </w:tcBorders>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16,980</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46,985</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116,571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(45,589)</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204,868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270,456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units</w:t>
            </w:r>
          </w:p>
        </w:tc>
        <w:tc>
          <w:tcPr>
            <w:tcW w:w="7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20" w:type="dxa"/>
            <w:vAlign w:val="bottom"/>
          </w:tcPr>
          <w:p>
            <w:pPr>
              <w:spacing w:after="0"/>
              <w:rPr>
                <w:sz w:val="11"/>
                <w:szCs w:val="11"/>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Class A common stock</w:t>
            </w: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shd w:val="clear" w:color="auto" w:fill="CCEEFF"/>
          </w:tcPr>
          <w:p>
            <w:pPr>
              <w:ind w:left="240"/>
              <w:spacing w:after="0" w:line="139"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2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2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color w:val="auto"/>
              </w:rPr>
              <w:t>Repurchase of stock related to the</w:t>
            </w:r>
          </w:p>
        </w:tc>
        <w:tc>
          <w:tcPr>
            <w:tcW w:w="20" w:type="dxa"/>
            <w:vAlign w:val="bottom"/>
          </w:tcPr>
          <w:p>
            <w:pPr>
              <w:spacing w:after="0"/>
              <w:rPr>
                <w:sz w:val="11"/>
                <w:szCs w:val="11"/>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Pr>
          <w:p>
            <w:pPr>
              <w:ind w:left="240"/>
              <w:spacing w:after="0" w:line="145"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20" w:type="dxa"/>
            <w:vAlign w:val="bottom"/>
          </w:tcPr>
          <w:p>
            <w:pPr>
              <w:spacing w:after="0"/>
              <w:rPr>
                <w:sz w:val="12"/>
                <w:szCs w:val="12"/>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20" w:type="dxa"/>
            <w:vAlign w:val="bottom"/>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17,170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46,985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119,740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(49,162)</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208,878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271,942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80"/>
          </w:cols>
          <w:pgMar w:left="900" w:top="119" w:right="41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5"/>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5"/>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5"/>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5"/>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bottom w:val="single" w:sz="8" w:color="auto"/>
            </w:tcBorders>
            <w:gridSpan w:val="5"/>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5"/>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tcBorders>
              <w:bottom w:val="single" w:sz="8" w:color="auto"/>
            </w:tcBorders>
            <w:gridSpan w:val="5"/>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Tot</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w:t>
            </w: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17,934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46,754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125,386</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(50,566)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7"/>
              </w:rPr>
              <w:t>(1,565)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(21,046)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220,236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35"/>
        </w:trPr>
        <w:tc>
          <w:tcPr>
            <w:tcW w:w="270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Issuance of Class A common stock related</w:t>
            </w:r>
          </w:p>
        </w:tc>
        <w:tc>
          <w:tcPr>
            <w:tcW w:w="7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243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vesting of restricted stock units</w:t>
            </w: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Exchange of Class B common stock for</w:t>
            </w:r>
          </w:p>
        </w:tc>
        <w:tc>
          <w:tcPr>
            <w:tcW w:w="7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 A common stock</w:t>
            </w: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(3,232)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gridSpan w:val="4"/>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4"/>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Repurchase of stock related to the stock</w:t>
            </w:r>
          </w:p>
        </w:tc>
        <w:tc>
          <w:tcPr>
            <w:tcW w:w="2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4"/>
                <w:szCs w:val="14"/>
                <w:color w:val="auto"/>
                <w:w w:val="97"/>
              </w:rPr>
              <w:t>(2,006)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(27,971)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program</w:t>
            </w: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(24,301)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26,122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2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(8,510)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8,510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7"/>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18,234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46,696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129,306</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(75,767)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4"/>
                <w:szCs w:val="14"/>
                <w:color w:val="auto"/>
                <w:w w:val="97"/>
              </w:rPr>
              <w:t>(1,982)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(26,127)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228,126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5"/>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5"/>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bottom w:val="single" w:sz="8" w:color="auto"/>
            </w:tcBorders>
            <w:gridSpan w:val="5"/>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20" w:type="dxa"/>
            <w:vAlign w:val="bottom"/>
          </w:tcPr>
          <w:p>
            <w:pPr>
              <w:spacing w:after="0"/>
              <w:rPr>
                <w:sz w:val="10"/>
                <w:szCs w:val="10"/>
                <w:color w:val="auto"/>
              </w:rPr>
            </w:pPr>
          </w:p>
        </w:tc>
        <w:tc>
          <w:tcPr>
            <w:tcW w:w="940" w:type="dxa"/>
            <w:vAlign w:val="bottom"/>
            <w:gridSpan w:val="5"/>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5"/>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4"/>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Equit</w:t>
            </w: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47,032</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112,830</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(1,127)</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206,132</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31"/>
        </w:trPr>
        <w:tc>
          <w:tcPr>
            <w:tcW w:w="2700" w:type="dxa"/>
            <w:vAlign w:val="bottom"/>
          </w:tcPr>
          <w:p>
            <w:pPr>
              <w:ind w:left="260"/>
              <w:spacing w:after="0" w:line="131" w:lineRule="exact"/>
              <w:rPr>
                <w:sz w:val="20"/>
                <w:szCs w:val="20"/>
                <w:color w:val="auto"/>
              </w:rPr>
            </w:pPr>
            <w:r>
              <w:rPr>
                <w:rFonts w:ascii="Times New Roman" w:cs="Times New Roman" w:eastAsia="Times New Roman" w:hAnsi="Times New Roman"/>
                <w:sz w:val="14"/>
                <w:szCs w:val="14"/>
                <w:color w:val="auto"/>
              </w:rPr>
              <w:t>Issuance of Class A common stock related</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vesting of restricted stock units</w:t>
            </w: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00" w:type="dxa"/>
            <w:vAlign w:val="bottom"/>
          </w:tcPr>
          <w:p>
            <w:pPr>
              <w:ind w:left="260"/>
              <w:spacing w:after="0" w:line="131" w:lineRule="exact"/>
              <w:rPr>
                <w:sz w:val="20"/>
                <w:szCs w:val="20"/>
                <w:color w:val="auto"/>
              </w:rPr>
            </w:pPr>
            <w:r>
              <w:rPr>
                <w:rFonts w:ascii="Times New Roman" w:cs="Times New Roman" w:eastAsia="Times New Roman" w:hAnsi="Times New Roman"/>
                <w:sz w:val="14"/>
                <w:szCs w:val="14"/>
                <w:color w:val="auto"/>
              </w:rPr>
              <w:t>Exchange of Class B common stock for</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 A common stock</w:t>
            </w: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w w:val="98"/>
              </w:rPr>
              <w:t>(736)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(7,299)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gridSpan w:val="4"/>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00" w:type="dxa"/>
            <w:vAlign w:val="bottom"/>
          </w:tcPr>
          <w:p>
            <w:pPr>
              <w:ind w:left="260"/>
              <w:spacing w:after="0" w:line="131" w:lineRule="exact"/>
              <w:rPr>
                <w:sz w:val="20"/>
                <w:szCs w:val="20"/>
                <w:color w:val="auto"/>
              </w:rPr>
            </w:pPr>
            <w:r>
              <w:rPr>
                <w:rFonts w:ascii="Times New Roman" w:cs="Times New Roman" w:eastAsia="Times New Roman" w:hAnsi="Times New Roman"/>
                <w:sz w:val="14"/>
                <w:szCs w:val="14"/>
                <w:color w:val="auto"/>
              </w:rPr>
              <w:t>Repurchase of stock related to the stock</w:t>
            </w:r>
          </w:p>
        </w:tc>
        <w:tc>
          <w:tcPr>
            <w:tcW w:w="2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left="270"/>
              <w:spacing w:after="0"/>
              <w:rPr>
                <w:sz w:val="20"/>
                <w:szCs w:val="20"/>
                <w:color w:val="auto"/>
              </w:rPr>
            </w:pPr>
            <w:r>
              <w:rPr>
                <w:rFonts w:ascii="Times New Roman" w:cs="Times New Roman" w:eastAsia="Times New Roman" w:hAnsi="Times New Roman"/>
                <w:sz w:val="14"/>
                <w:szCs w:val="14"/>
                <w:color w:val="auto"/>
                <w:w w:val="98"/>
              </w:rPr>
              <w:t>(573)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(5,480)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program</w:t>
            </w: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5"/>
        </w:trPr>
        <w:tc>
          <w:tcPr>
            <w:tcW w:w="27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2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7"/>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2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119,740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(49,162)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center"/>
              <w:ind w:left="270"/>
              <w:spacing w:after="0"/>
              <w:rPr>
                <w:sz w:val="20"/>
                <w:szCs w:val="20"/>
                <w:color w:val="auto"/>
              </w:rPr>
            </w:pPr>
            <w:r>
              <w:rPr>
                <w:rFonts w:ascii="Times New Roman" w:cs="Times New Roman" w:eastAsia="Times New Roman" w:hAnsi="Times New Roman"/>
                <w:sz w:val="14"/>
                <w:szCs w:val="14"/>
                <w:color w:val="auto"/>
                <w:w w:val="98"/>
              </w:rPr>
              <w:t>(795)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(7,578)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74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7"/>
        </w:trPr>
        <w:tc>
          <w:tcPr>
            <w:tcW w:w="7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18,207</w:t>
            </w:r>
          </w:p>
        </w:tc>
      </w:tr>
      <w:tr>
        <w:trPr>
          <w:trHeight w:val="203"/>
        </w:trPr>
        <w:tc>
          <w:tcPr>
            <w:tcW w:w="74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w:t>
            </w:r>
          </w:p>
        </w:tc>
      </w:tr>
      <w:tr>
        <w:trPr>
          <w:trHeight w:val="203"/>
        </w:trPr>
        <w:tc>
          <w:tcPr>
            <w:tcW w:w="74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stock related to tax withholdings on vested equity awards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stock related to the stock repurchase program</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7"/>
        </w:trPr>
        <w:tc>
          <w:tcPr>
            <w:tcW w:w="74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w:t>
            </w:r>
          </w:p>
        </w:tc>
      </w:tr>
      <w:tr>
        <w:trPr>
          <w:trHeight w:val="217"/>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r>
      <w:tr>
        <w:trPr>
          <w:trHeight w:val="217"/>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209,744</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0"/>
        </w:trPr>
        <w:tc>
          <w:tcPr>
            <w:tcW w:w="7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 including adjustments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offering costs recorded in accounts payable and accrued liabilities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bl>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00"/>
          </w:cols>
          <w:pgMar w:left="1040" w:top="119" w:right="559" w:bottom="1440" w:gutter="0" w:footer="0" w:header="0"/>
        </w:sectPr>
      </w:pPr>
    </w:p>
    <w:bookmarkStart w:id="8" w:name="page9"/>
    <w:bookmarkEnd w:id="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87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rPr>
              <w:t>Nature of Operations</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4"/>
        </w:trPr>
        <w:tc>
          <w:tcPr>
            <w:tcW w:w="920" w:type="dxa"/>
            <w:vAlign w:val="bottom"/>
            <w:vMerge w:val="continue"/>
          </w:tcPr>
          <w:p>
            <w:pPr>
              <w:spacing w:after="0"/>
              <w:rPr>
                <w:sz w:val="14"/>
                <w:szCs w:val="14"/>
                <w:color w:val="auto"/>
              </w:rPr>
            </w:pPr>
          </w:p>
        </w:tc>
        <w:tc>
          <w:tcPr>
            <w:tcW w:w="8720" w:type="dxa"/>
            <w:vAlign w:val="bottom"/>
            <w:gridSpan w:val="13"/>
            <w:vMerge w:val="continue"/>
          </w:tcPr>
          <w:p>
            <w:pPr>
              <w:spacing w:after="0"/>
              <w:rPr>
                <w:sz w:val="14"/>
                <w:szCs w:val="14"/>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87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3</w:t>
            </w:r>
          </w:p>
        </w:tc>
        <w:tc>
          <w:tcPr>
            <w:tcW w:w="620" w:type="dxa"/>
            <w:vAlign w:val="bottom"/>
            <w:tcBorders>
              <w:top w:val="single" w:sz="8" w:color="0000FF"/>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5"/>
              </w:rPr>
              <w:t>Revenue</w:t>
            </w:r>
          </w:p>
        </w:tc>
        <w:tc>
          <w:tcPr>
            <w:tcW w:w="4340" w:type="dxa"/>
            <w:vAlign w:val="bottom"/>
            <w:tcBorders>
              <w:top w:val="single" w:sz="8" w:color="0000FF"/>
            </w:tcBorders>
            <w:gridSpan w:val="10"/>
          </w:tcPr>
          <w:p>
            <w:pPr>
              <w:spacing w:after="0"/>
              <w:rPr>
                <w:sz w:val="17"/>
                <w:szCs w:val="17"/>
                <w:color w:val="auto"/>
              </w:rPr>
            </w:pPr>
          </w:p>
        </w:tc>
        <w:tc>
          <w:tcPr>
            <w:tcW w:w="37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4</w:t>
            </w:r>
          </w:p>
        </w:tc>
        <w:tc>
          <w:tcPr>
            <w:tcW w:w="2820" w:type="dxa"/>
            <w:vAlign w:val="bottom"/>
            <w:tcBorders>
              <w:bottom w:val="single" w:sz="8" w:color="0000FF"/>
            </w:tcBorders>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6"/>
              </w:rPr>
              <w:t>Property, Equipment, and Software, Net</w:t>
            </w:r>
          </w:p>
        </w:tc>
        <w:tc>
          <w:tcPr>
            <w:tcW w:w="5900" w:type="dxa"/>
            <w:vAlign w:val="bottom"/>
            <w:gridSpan w:val="3"/>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Leases</w:t>
            </w: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6</w:t>
            </w:r>
          </w:p>
        </w:tc>
        <w:tc>
          <w:tcPr>
            <w:tcW w:w="1560" w:type="dxa"/>
            <w:vAlign w:val="bottom"/>
            <w:tcBorders>
              <w:bottom w:val="single" w:sz="8" w:color="0000FF"/>
            </w:tcBorders>
            <w:gridSpan w:val="5"/>
          </w:tcPr>
          <w:p>
            <w:pPr>
              <w:spacing w:after="0" w:line="203" w:lineRule="exact"/>
              <w:rPr>
                <w:sz w:val="20"/>
                <w:szCs w:val="20"/>
                <w:color w:val="auto"/>
              </w:rPr>
            </w:pPr>
            <w:r>
              <w:rPr>
                <w:rFonts w:ascii="Times New Roman" w:cs="Times New Roman" w:eastAsia="Times New Roman" w:hAnsi="Times New Roman"/>
                <w:sz w:val="18"/>
                <w:szCs w:val="18"/>
                <w:color w:val="0000FF"/>
                <w:w w:val="96"/>
              </w:rPr>
              <w:t>Intangible Assets, Net</w:t>
            </w:r>
          </w:p>
        </w:tc>
        <w:tc>
          <w:tcPr>
            <w:tcW w:w="7160" w:type="dxa"/>
            <w:vAlign w:val="bottom"/>
            <w:gridSpan w:val="8"/>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7</w:t>
            </w:r>
          </w:p>
        </w:tc>
        <w:tc>
          <w:tcPr>
            <w:tcW w:w="1360" w:type="dxa"/>
            <w:vAlign w:val="bottom"/>
            <w:tcBorders>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6"/>
              </w:rPr>
              <w:t>Accrued Liabilities</w:t>
            </w:r>
          </w:p>
        </w:tc>
        <w:tc>
          <w:tcPr>
            <w:tcW w:w="7360" w:type="dxa"/>
            <w:vAlign w:val="bottom"/>
            <w:gridSpan w:val="10"/>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8</w:t>
            </w:r>
          </w:p>
        </w:tc>
        <w:tc>
          <w:tcPr>
            <w:tcW w:w="1800" w:type="dxa"/>
            <w:vAlign w:val="bottom"/>
            <w:tcBorders>
              <w:bottom w:val="single" w:sz="8" w:color="0000FF"/>
            </w:tcBorders>
            <w:gridSpan w:val="7"/>
          </w:tcPr>
          <w:p>
            <w:pPr>
              <w:spacing w:after="0" w:line="203" w:lineRule="exact"/>
              <w:rPr>
                <w:sz w:val="20"/>
                <w:szCs w:val="20"/>
                <w:color w:val="auto"/>
              </w:rPr>
            </w:pPr>
            <w:r>
              <w:rPr>
                <w:rFonts w:ascii="Times New Roman" w:cs="Times New Roman" w:eastAsia="Times New Roman" w:hAnsi="Times New Roman"/>
                <w:sz w:val="18"/>
                <w:szCs w:val="18"/>
                <w:color w:val="0000FF"/>
                <w:w w:val="96"/>
              </w:rPr>
              <w:t>Revolving Credit Facility</w:t>
            </w:r>
          </w:p>
        </w:tc>
        <w:tc>
          <w:tcPr>
            <w:tcW w:w="6920" w:type="dxa"/>
            <w:vAlign w:val="bottom"/>
            <w:gridSpan w:val="6"/>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Stockholders' Equity</w:t>
            </w: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Income Taxes and Tax Receivable Agreement</w:t>
            </w: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11</w:t>
            </w:r>
          </w:p>
        </w:tc>
        <w:tc>
          <w:tcPr>
            <w:tcW w:w="1840" w:type="dxa"/>
            <w:vAlign w:val="bottom"/>
            <w:tcBorders>
              <w:top w:val="single" w:sz="8" w:color="0000FF"/>
              <w:bottom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6"/>
              </w:rPr>
              <w:t>Earnings (Loss) Per Share</w:t>
            </w:r>
          </w:p>
        </w:tc>
        <w:tc>
          <w:tcPr>
            <w:tcW w:w="1380" w:type="dxa"/>
            <w:vAlign w:val="bottom"/>
            <w:tcBorders>
              <w:top w:val="single" w:sz="8" w:color="0000FF"/>
            </w:tcBorders>
            <w:gridSpan w:val="3"/>
          </w:tcPr>
          <w:p>
            <w:pPr>
              <w:spacing w:after="0"/>
              <w:rPr>
                <w:sz w:val="17"/>
                <w:szCs w:val="17"/>
                <w:color w:val="auto"/>
              </w:rPr>
            </w:pPr>
          </w:p>
        </w:tc>
        <w:tc>
          <w:tcPr>
            <w:tcW w:w="5500" w:type="dxa"/>
            <w:vAlign w:val="bottom"/>
            <w:gridSpan w:val="2"/>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12</w:t>
            </w:r>
          </w:p>
        </w:tc>
        <w:tc>
          <w:tcPr>
            <w:tcW w:w="1720" w:type="dxa"/>
            <w:vAlign w:val="bottom"/>
            <w:tcBorders>
              <w:bottom w:val="single" w:sz="8" w:color="0000FF"/>
            </w:tcBorders>
            <w:gridSpan w:val="6"/>
          </w:tcPr>
          <w:p>
            <w:pPr>
              <w:spacing w:after="0" w:line="203" w:lineRule="exact"/>
              <w:rPr>
                <w:sz w:val="20"/>
                <w:szCs w:val="20"/>
                <w:color w:val="auto"/>
              </w:rPr>
            </w:pPr>
            <w:r>
              <w:rPr>
                <w:rFonts w:ascii="Times New Roman" w:cs="Times New Roman" w:eastAsia="Times New Roman" w:hAnsi="Times New Roman"/>
                <w:sz w:val="18"/>
                <w:szCs w:val="18"/>
                <w:color w:val="0000FF"/>
                <w:w w:val="96"/>
              </w:rPr>
              <w:t>Noncontrolling Interests</w:t>
            </w:r>
          </w:p>
        </w:tc>
        <w:tc>
          <w:tcPr>
            <w:tcW w:w="7000" w:type="dxa"/>
            <w:vAlign w:val="bottom"/>
            <w:gridSpan w:val="7"/>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3"/>
        </w:trPr>
        <w:tc>
          <w:tcPr>
            <w:tcW w:w="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220" w:hanging="215"/>
        <w:spacing w:after="0"/>
        <w:tabs>
          <w:tab w:leader="none" w:pos="22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Nature of Operations</w:t>
      </w:r>
    </w:p>
    <w:p>
      <w:pPr>
        <w:spacing w:after="0" w:line="113" w:lineRule="exact"/>
        <w:rPr>
          <w:sz w:val="20"/>
          <w:szCs w:val="20"/>
          <w:color w:val="auto"/>
        </w:rPr>
      </w:pPr>
    </w:p>
    <w:p>
      <w:pPr>
        <w:ind w:right="320" w:firstLine="473"/>
        <w:spacing w:after="0" w:line="303" w:lineRule="auto"/>
        <w:rPr>
          <w:sz w:val="20"/>
          <w:szCs w:val="20"/>
          <w:color w:val="auto"/>
        </w:rPr>
      </w:pPr>
      <w:r>
        <w:rPr>
          <w:rFonts w:ascii="Times New Roman" w:cs="Times New Roman" w:eastAsia="Times New Roman" w:hAnsi="Times New Roman"/>
          <w:sz w:val="16"/>
          <w:szCs w:val="16"/>
          <w:color w:val="231F20"/>
        </w:rPr>
        <w:t>Viant Technology Inc. (the “Company,” “we,” “us,” “our” or “Viant”) was incorporated in the State of Delaware on October 9, 2020</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231F20"/>
        </w:rPr>
        <w:t xml:space="preserve"> The Company operates a cloud-based demand side platform (“DSP”) that is used by marketers and their advertising agencies to centralize the planning, buying and measurement of their advertising across most channels, including connected TV ("CTV"), streaming audio, digital out-of-home, mobile and desktop.</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Our headquarters are located in Irvine, California with other leased office spaces across the United States.</w:t>
      </w:r>
    </w:p>
    <w:p>
      <w:pPr>
        <w:spacing w:after="0" w:line="319" w:lineRule="exact"/>
        <w:rPr>
          <w:sz w:val="20"/>
          <w:szCs w:val="20"/>
          <w:color w:val="auto"/>
        </w:rPr>
      </w:pPr>
    </w:p>
    <w:p>
      <w:pPr>
        <w:ind w:left="220" w:hanging="215"/>
        <w:spacing w:after="0"/>
        <w:tabs>
          <w:tab w:leader="none" w:pos="220"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2" w:lineRule="exact"/>
        <w:rPr>
          <w:sz w:val="20"/>
          <w:szCs w:val="20"/>
          <w:color w:val="auto"/>
        </w:rPr>
      </w:pPr>
    </w:p>
    <w:p>
      <w:pPr>
        <w:ind w:right="100" w:firstLine="473"/>
        <w:spacing w:after="0" w:line="249"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accompanying unaudited condensed consolidated financial statements are prepared in accordance with generally accepted accounting principles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United States of America (“GAAP”) for interim financial information and include the operations of the Company, Viant Technology LLC and its wholly owned subsidiaries. Viant Technology LLC is considered a variable interest entity (“VIE”).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83"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231F20"/>
        </w:rPr>
        <w:t xml:space="preserve">Management </w:t>
      </w:r>
      <w:r>
        <w:rPr>
          <w:rFonts w:ascii="Times New Roman" w:cs="Times New Roman" w:eastAsia="Times New Roman" w:hAnsi="Times New Roman"/>
          <w:sz w:val="18"/>
          <w:szCs w:val="18"/>
          <w:color w:val="000000"/>
        </w:rPr>
        <w:t>believes that the accompanying condensed consolidated financial statements reflect the adjustments necessary for the fair statement of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financial statements included in this Quarterly Report on Form 10-Q. The condensed consolidated balance sheet as of December 31, 2024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2024.</w:t>
      </w:r>
    </w:p>
    <w:p>
      <w:pPr>
        <w:spacing w:after="0" w:line="84" w:lineRule="exact"/>
        <w:rPr>
          <w:sz w:val="20"/>
          <w:szCs w:val="20"/>
          <w:color w:val="auto"/>
        </w:rPr>
      </w:pPr>
    </w:p>
    <w:p>
      <w:pPr>
        <w:ind w:right="40" w:firstLine="473"/>
        <w:spacing w:after="0" w:line="268" w:lineRule="auto"/>
        <w:rPr>
          <w:sz w:val="20"/>
          <w:szCs w:val="20"/>
          <w:color w:val="auto"/>
        </w:rPr>
      </w:pPr>
      <w:r>
        <w:rPr>
          <w:rFonts w:ascii="Times New Roman" w:cs="Times New Roman" w:eastAsia="Times New Roman" w:hAnsi="Times New Roman"/>
          <w:sz w:val="18"/>
          <w:szCs w:val="18"/>
          <w:color w:val="auto"/>
        </w:rPr>
        <w:t>The condensed consolidated statements of operations for the three and six months ended June 30, 2025 are not necessarily indicative of the results to be expected for the year ending December 31, 2025, or for any other future annual or interim period.</w:t>
      </w:r>
    </w:p>
    <w:p>
      <w:pPr>
        <w:spacing w:after="0" w:line="63" w:lineRule="exact"/>
        <w:rPr>
          <w:sz w:val="20"/>
          <w:szCs w:val="20"/>
          <w:color w:val="auto"/>
        </w:rPr>
      </w:pPr>
    </w:p>
    <w:p>
      <w:pPr>
        <w:ind w:right="320" w:firstLine="473"/>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described in the Company's Annual Report on Form 10-K for the year ended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2" w:lineRule="exact"/>
        <w:rPr>
          <w:sz w:val="20"/>
          <w:szCs w:val="20"/>
          <w:color w:val="auto"/>
        </w:rPr>
      </w:pPr>
    </w:p>
    <w:p>
      <w:pPr>
        <w:ind w:right="20" w:firstLine="473"/>
        <w:spacing w:after="0" w:line="288" w:lineRule="auto"/>
        <w:rPr>
          <w:sz w:val="20"/>
          <w:szCs w:val="20"/>
          <w:color w:val="auto"/>
        </w:rPr>
      </w:pPr>
      <w:r>
        <w:rPr>
          <w:rFonts w:ascii="Times New Roman" w:cs="Times New Roman" w:eastAsia="Times New Roman" w:hAnsi="Times New Roman"/>
          <w:sz w:val="16"/>
          <w:szCs w:val="16"/>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 w:cs="Times New Roman" w:eastAsia="Times New Roman" w:hAnsi="Times New Roman"/>
          <w:sz w:val="16"/>
          <w:szCs w:val="16"/>
          <w:color w:val="000000"/>
        </w:rPr>
        <w:t>On an ongoing basis, management evaluates its estimates, primarily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w:t>
      </w:r>
    </w:p>
    <w:p>
      <w:pPr>
        <w:sectPr>
          <w:pgSz w:w="11900" w:h="16838" w:orient="portrait"/>
          <w:cols w:equalWidth="0" w:num="1">
            <w:col w:w="11160"/>
          </w:cols>
          <w:pgMar w:left="320" w:top="119" w:right="419" w:bottom="1440" w:gutter="0" w:footer="0" w:header="0"/>
        </w:sectPr>
      </w:pPr>
    </w:p>
    <w:p>
      <w:pPr>
        <w:spacing w:after="0" w:line="36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9" w:name="page10"/>
    <w:bookmarkEnd w:id="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74"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The impact of widespread macroeconomic and geopolitical uncertainties, including the impact of bank failures, tariffs and international trade conflict, high interest rates, inflationary pressures, labor shortages, shortages of goods and services, supply chain constraints, pandemics, political cycles, changes in laws and interpretations of laws,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periods presented, net income (loss) is equal to comprehensive income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2"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owns and operates an enterprise technology platform that enables the Company, marketers and their advertising agencies to centralize the planning, buying and measurement of their video, audio and display ads across all channels, including CTV, streaming audio, digital out-of-home, mobile and desktop in the United States. The Company derives its revenues from the services it provides through utilization of its platform. In reaching this conclusion of a single reportable operating segment, management considers the definition of the chief operating decision maker (“CODM”), how the business is defined by the CODM, the nature of the information provided to the CODM and how that information is used to make operating decisions, allocate resources and assess performance.</w:t>
      </w:r>
    </w:p>
    <w:p>
      <w:pPr>
        <w:spacing w:after="0" w:line="84"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The Company’s CODM is comprised of the chief executive officer and chief operating officer. The CODM uses multiple measures within the consolidated statements of operations, balance sheets, and cash flows and thus utilizes the entirety of those consolidated statements to make key resource decisions and assess performance at the consolidated level. The CODM does not review segment assets at a different asset level and category. The consolidated net income (loss) is the measure of segment net income (loss) that is most consistent with U.S. GAAP. In addition to the consolidated operating expenses as noted on the consolidated statements of operations, the CODM is regularly provided with traffic acquisition costs which are included within platform operations as presented below:</w:t>
      </w:r>
    </w:p>
    <w:p>
      <w:pPr>
        <w:spacing w:after="0" w:line="9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w:t>
            </w: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21,422</w:t>
            </w:r>
          </w:p>
        </w:tc>
      </w:tr>
      <w:tr>
        <w:trPr>
          <w:trHeight w:val="242"/>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2" w:lineRule="exact"/>
        <w:rPr>
          <w:sz w:val="20"/>
          <w:szCs w:val="20"/>
          <w:color w:val="auto"/>
        </w:rPr>
      </w:pPr>
    </w:p>
    <w:p>
      <w:pPr>
        <w:ind w:right="180" w:firstLine="473"/>
        <w:spacing w:after="0" w:line="252"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June 30, 2025, cash equivalents included money market funds of $157.7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6120765</wp:posOffset>
            </wp:positionH>
            <wp:positionV relativeFrom="paragraph">
              <wp:posOffset>97155</wp:posOffset>
            </wp:positionV>
            <wp:extent cx="8680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spacing w:after="0" w:line="143"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18415</wp:posOffset>
            </wp:positionV>
            <wp:extent cx="6534785" cy="150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4785" cy="15049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Provision for doubtful accounts</w:t>
      </w:r>
    </w:p>
    <w:p>
      <w:pPr>
        <w:spacing w:after="0" w:line="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-130175</wp:posOffset>
            </wp:positionV>
            <wp:extent cx="6534785"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4785" cy="141605"/>
                    </a:xfrm>
                    <a:prstGeom prst="rect">
                      <a:avLst/>
                    </a:prstGeom>
                    <a:noFill/>
                  </pic:spPr>
                </pic:pic>
              </a:graphicData>
            </a:graphic>
          </wp:anchor>
        </w:drawing>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June 30, 2025</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883" w:hanging="883"/>
        <w:spacing w:after="0"/>
        <w:tabs>
          <w:tab w:leader="none" w:pos="8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2,065</w:t>
      </w:r>
    </w:p>
    <w:p>
      <w:pPr>
        <w:spacing w:after="0" w:line="21" w:lineRule="exact"/>
        <w:rPr>
          <w:rFonts w:ascii="Times New Roman" w:cs="Times New Roman" w:eastAsia="Times New Roman" w:hAnsi="Times New Roman"/>
          <w:sz w:val="18"/>
          <w:szCs w:val="18"/>
          <w:color w:val="auto"/>
        </w:rPr>
      </w:pPr>
    </w:p>
    <w:p>
      <w:pPr>
        <w:ind w:left="10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406</w:t>
      </w:r>
    </w:p>
    <w:p>
      <w:pPr>
        <w:spacing w:after="0" w:line="16"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868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spacing w:after="0" w:line="5" w:lineRule="exact"/>
        <w:rPr>
          <w:sz w:val="20"/>
          <w:szCs w:val="20"/>
          <w:color w:val="auto"/>
        </w:rPr>
      </w:pPr>
    </w:p>
    <w:p>
      <w:pPr>
        <w:ind w:left="883" w:hanging="883"/>
        <w:spacing w:after="0"/>
        <w:tabs>
          <w:tab w:leader="none" w:pos="8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868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804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868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37" w:space="720"/>
            <w:col w:w="1583"/>
          </w:cols>
          <w:pgMar w:left="320" w:top="119" w:right="339" w:bottom="1440" w:gutter="0" w:footer="0" w:header="0"/>
          <w:type w:val="continuous"/>
        </w:sectPr>
      </w:pPr>
    </w:p>
    <w:p>
      <w:pPr>
        <w:spacing w:after="0" w:line="3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2"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spacing w:after="0" w:line="83" w:lineRule="exact"/>
        <w:rPr>
          <w:sz w:val="20"/>
          <w:szCs w:val="20"/>
          <w:color w:val="auto"/>
        </w:rPr>
      </w:pPr>
    </w:p>
    <w:p>
      <w:pPr>
        <w:ind w:right="40" w:firstLine="473"/>
        <w:spacing w:after="0" w:line="268"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advertising agency holding companies and individual customers as a percentage of the Company's total revenues for the periods presented:</w:t>
      </w:r>
    </w:p>
    <w:p>
      <w:pPr>
        <w:spacing w:after="0" w:line="7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28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Three Months Ended</w:t>
            </w:r>
          </w:p>
        </w:tc>
        <w:tc>
          <w:tcPr>
            <w:tcW w:w="290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52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0"/>
        </w:trPr>
        <w:tc>
          <w:tcPr>
            <w:tcW w:w="45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4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Advertising Agency Holding Company</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3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&lt;10.0%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2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Individual Customer</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3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&lt;10.0%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bl>
    <w:p>
      <w:pPr>
        <w:spacing w:after="0" w:line="174" w:lineRule="exact"/>
        <w:rPr>
          <w:sz w:val="20"/>
          <w:szCs w:val="20"/>
          <w:color w:val="auto"/>
        </w:rPr>
      </w:pPr>
    </w:p>
    <w:p>
      <w:pPr>
        <w:ind w:right="120" w:firstLine="473"/>
        <w:spacing w:after="0" w:line="268" w:lineRule="auto"/>
        <w:rPr>
          <w:sz w:val="20"/>
          <w:szCs w:val="20"/>
          <w:color w:val="auto"/>
        </w:rPr>
      </w:pPr>
      <w:r>
        <w:rPr>
          <w:rFonts w:ascii="Times New Roman" w:cs="Times New Roman" w:eastAsia="Times New Roman" w:hAnsi="Times New Roman"/>
          <w:sz w:val="18"/>
          <w:szCs w:val="18"/>
          <w:color w:val="auto"/>
        </w:rPr>
        <w:t>As of June 30, 2025, one advertising agency holding company accounted for 13.2% of consolidated accounts receivable. As of December 31, 2024, one advertising agency holding company accounted for 13.9% of consolidated accounts receivable.</w:t>
      </w:r>
    </w:p>
    <w:p>
      <w:pPr>
        <w:spacing w:after="0" w:line="63" w:lineRule="exact"/>
        <w:rPr>
          <w:sz w:val="20"/>
          <w:szCs w:val="20"/>
          <w:color w:val="auto"/>
        </w:rPr>
      </w:pPr>
    </w:p>
    <w:p>
      <w:pPr>
        <w:jc w:val="both"/>
        <w:ind w:right="360" w:firstLine="473"/>
        <w:spacing w:after="0" w:line="256" w:lineRule="auto"/>
        <w:rPr>
          <w:sz w:val="20"/>
          <w:szCs w:val="20"/>
          <w:color w:val="auto"/>
        </w:rPr>
      </w:pPr>
      <w:r>
        <w:rPr>
          <w:rFonts w:ascii="Times New Roman" w:cs="Times New Roman" w:eastAsia="Times New Roman" w:hAnsi="Times New Roman"/>
          <w:sz w:val="18"/>
          <w:szCs w:val="18"/>
          <w:color w:val="auto"/>
        </w:rPr>
        <w:t>As of June 30, 2025, three individual suppliers accounted for 12.5%, 11.7%, and 10.7%, respectively, of consolidated accounts payable and accrued liabilities. As of December 31, 2024, three individual suppliers accounted for 14.0%, 12.6% and 12.6%, respectively, of consolidated accounts payable and accrued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11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hold investments in non-marketable equity securities that represent investments in privately held companies without readily determinable fair values. The Company measures investments without readily determinable fair values at cost, less impairment, adjusted for observable price changes. These investments are included within other assets on our condensed consolidated balance sheets.</w:t>
      </w:r>
    </w:p>
    <w:p>
      <w:pPr>
        <w:spacing w:after="0" w:line="74" w:lineRule="exact"/>
        <w:rPr>
          <w:sz w:val="20"/>
          <w:szCs w:val="20"/>
          <w:color w:val="auto"/>
        </w:rPr>
      </w:pPr>
    </w:p>
    <w:p>
      <w:pPr>
        <w:ind w:right="40" w:firstLine="473"/>
        <w:spacing w:after="0" w:line="256" w:lineRule="auto"/>
        <w:rPr>
          <w:sz w:val="20"/>
          <w:szCs w:val="20"/>
          <w:color w:val="auto"/>
        </w:rPr>
      </w:pPr>
      <w:r>
        <w:rPr>
          <w:rFonts w:ascii="Times New Roman" w:cs="Times New Roman" w:eastAsia="Times New Roman" w:hAnsi="Times New Roman"/>
          <w:sz w:val="18"/>
          <w:szCs w:val="18"/>
          <w:color w:val="auto"/>
        </w:rPr>
        <w:t>As of June 30, 2025, the Company had non-marketable equity investments without readily determinable fair value of $3.5 million. The Company did not record any adjustments to the carrying value resulting from observable price changes and did not record any related impairment for the six months ended June 30, 2025. Additionally, we did not recognize any gains or losses in the value of these investments for the six months ended June 30,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12" w:lineRule="exact"/>
        <w:rPr>
          <w:sz w:val="20"/>
          <w:szCs w:val="20"/>
          <w:color w:val="auto"/>
        </w:rPr>
      </w:pPr>
    </w:p>
    <w:p>
      <w:pPr>
        <w:ind w:right="60" w:firstLine="473"/>
        <w:spacing w:after="0" w:line="246" w:lineRule="auto"/>
        <w:rPr>
          <w:sz w:val="20"/>
          <w:szCs w:val="20"/>
          <w:color w:val="auto"/>
        </w:rPr>
      </w:pPr>
      <w:r>
        <w:rPr>
          <w:rFonts w:ascii="Times New Roman" w:cs="Times New Roman" w:eastAsia="Times New Roman" w:hAnsi="Times New Roman"/>
          <w:sz w:val="18"/>
          <w:szCs w:val="18"/>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auto"/>
        </w:rPr>
        <w:t xml:space="preserv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Securities and Exchange Commission (“SEC”). The Company will remain an emerging growth company until December 31, 2026, or sooner if it no longer qualifies. The Company has elected to take advantage of the benefits of this extended transition period for complying with new or revised accounting standards that have different effective dates for public and private companies until the first to occur of the date that it (i) is no longer an “emerging growth company” or (ii) affirmatively and irrevocably opts out of this extended transition period provided by Securities Act Section 7(a)(2)(B).</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108" w:lineRule="exact"/>
        <w:rPr>
          <w:sz w:val="20"/>
          <w:szCs w:val="20"/>
          <w:color w:val="auto"/>
        </w:rPr>
      </w:pPr>
    </w:p>
    <w:p>
      <w:pPr>
        <w:ind w:right="60" w:firstLine="473"/>
        <w:spacing w:after="0" w:line="252"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No.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SEC’s Disclosure Update and Simplification Initiative</w:t>
      </w:r>
      <w:r>
        <w:rPr>
          <w:rFonts w:ascii="Times New Roman" w:cs="Times New Roman" w:eastAsia="Times New Roman" w:hAnsi="Times New Roman"/>
          <w:sz w:val="18"/>
          <w:szCs w:val="18"/>
          <w:color w:val="auto"/>
        </w:rPr>
        <w:t>. ASU 2023-06 includes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clarify or improve disclosure and presentation requirements of a variety of topics in order to allow users to more easily compare entities subject to the SEC’s existing disclosures with those entities that were</w:t>
      </w:r>
    </w:p>
    <w:p>
      <w:pPr>
        <w:sectPr>
          <w:pgSz w:w="11900" w:h="16838" w:orient="portrait"/>
          <w:cols w:equalWidth="0" w:num="1">
            <w:col w:w="11240"/>
          </w:cols>
          <w:pgMar w:left="320" w:top="119" w:right="339" w:bottom="1440" w:gutter="0" w:footer="0" w:header="0"/>
        </w:sectPr>
      </w:pPr>
    </w:p>
    <w:p>
      <w:pPr>
        <w:spacing w:after="0" w:line="3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color w:val="auto"/>
        </w:rPr>
        <w:t>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This ASU is not expected to have a material impact on the Company's condensed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8" w:lineRule="exact"/>
        <w:rPr>
          <w:sz w:val="20"/>
          <w:szCs w:val="20"/>
          <w:color w:val="auto"/>
        </w:rPr>
      </w:pPr>
    </w:p>
    <w:p>
      <w:pPr>
        <w:ind w:right="80" w:firstLine="473"/>
        <w:spacing w:after="0" w:line="249"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designed to enhance the transparency and decision usefulness of annual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 annual periods beginning after December 15, 2024 on a prospective basis, with a retrospective option, and early adoption permitted. The Company is currently evaluating the impact that adoption of this ASU will have on our financial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8" w:lineRule="exact"/>
        <w:rPr>
          <w:sz w:val="20"/>
          <w:szCs w:val="20"/>
          <w:color w:val="auto"/>
        </w:rPr>
      </w:pPr>
    </w:p>
    <w:p>
      <w:pPr>
        <w:ind w:right="200" w:firstLine="473"/>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disclosure of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notes to financial statements on an annual and interim basis. The effective date for this ASU is for annual periods beginning after December 15, 2026, and interim periods beginning after December 15, 2027, with early adoption permitted. The Company is currently evaluating the impact of these amendments.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08"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ASU 2016-13 revises the impairment model to utilize an expected loss methodology in place of the incurred loss methodology, which results in more timely recognition of losses on financial instruments. We adopted this standard at the beginning of the fiscal year ended December 31,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w:t>
      </w:r>
    </w:p>
    <w:p>
      <w:pPr>
        <w:spacing w:after="0" w:line="292" w:lineRule="exact"/>
        <w:rPr>
          <w:sz w:val="20"/>
          <w:szCs w:val="20"/>
          <w:color w:val="auto"/>
        </w:rPr>
      </w:pPr>
    </w:p>
    <w:p>
      <w:pPr>
        <w:ind w:left="220" w:hanging="215"/>
        <w:spacing w:after="0"/>
        <w:tabs>
          <w:tab w:leader="none" w:pos="220" w:val="left"/>
        </w:tabs>
        <w:numPr>
          <w:ilvl w:val="0"/>
          <w:numId w:val="8"/>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Revenue</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22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0"/>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17"/>
        </w:trPr>
        <w:tc>
          <w:tcPr>
            <w:tcW w:w="46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Over-time 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116,832</w:t>
            </w:r>
          </w:p>
        </w:tc>
      </w:tr>
      <w:tr>
        <w:trPr>
          <w:trHeight w:val="242"/>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00" w:firstLine="473"/>
        <w:spacing w:after="0" w:line="293" w:lineRule="auto"/>
        <w:rPr>
          <w:sz w:val="20"/>
          <w:szCs w:val="20"/>
          <w:color w:val="auto"/>
        </w:rPr>
      </w:pPr>
      <w:r>
        <w:rPr>
          <w:rFonts w:ascii="Times New Roman" w:cs="Times New Roman" w:eastAsia="Times New Roman" w:hAnsi="Times New Roman"/>
          <w:sz w:val="16"/>
          <w:szCs w:val="16"/>
          <w:color w:val="231F20"/>
        </w:rPr>
        <w:t xml:space="preserve">Revenue for unsatisfied performance obligations expected to be recognized in the future for contracts with an original expected duration of greater than one year was </w:t>
      </w:r>
      <w:r>
        <w:rPr>
          <w:rFonts w:ascii="Times New Roman" w:cs="Times New Roman" w:eastAsia="Times New Roman" w:hAnsi="Times New Roman"/>
          <w:sz w:val="16"/>
          <w:szCs w:val="16"/>
          <w:color w:val="000000"/>
        </w:rPr>
        <w:t>$0.8</w:t>
      </w:r>
      <w:r>
        <w:rPr>
          <w:rFonts w:ascii="Times New Roman" w:cs="Times New Roman" w:eastAsia="Times New Roman" w:hAnsi="Times New Roman"/>
          <w:sz w:val="16"/>
          <w:szCs w:val="16"/>
          <w:color w:val="231F20"/>
        </w:rPr>
        <w:t xml:space="preserve"> million as of June 30, 2025 and </w:t>
      </w:r>
      <w:r>
        <w:rPr>
          <w:rFonts w:ascii="Times New Roman" w:cs="Times New Roman" w:eastAsia="Times New Roman" w:hAnsi="Times New Roman"/>
          <w:sz w:val="16"/>
          <w:szCs w:val="16"/>
          <w:color w:val="000000"/>
        </w:rPr>
        <w:t>$0.8 million as of</w:t>
      </w:r>
      <w:r>
        <w:rPr>
          <w:rFonts w:ascii="Times New Roman" w:cs="Times New Roman" w:eastAsia="Times New Roman" w:hAnsi="Times New Roman"/>
          <w:sz w:val="16"/>
          <w:szCs w:val="16"/>
          <w:color w:val="231F20"/>
        </w:rPr>
        <w:t xml:space="preserve"> December 31, 2024. These amounts do not include contracts with an original expected duration of less than one year, which is the majority of the Company’s contracts. Remaining deferred revenue that is anticipated to be recognized during the succeeding 12 month period is recorded in the current portion of </w:t>
      </w:r>
      <w:r>
        <w:rPr>
          <w:rFonts w:ascii="Times New Roman" w:cs="Times New Roman" w:eastAsia="Times New Roman" w:hAnsi="Times New Roman"/>
          <w:sz w:val="16"/>
          <w:szCs w:val="16"/>
          <w:color w:val="000000"/>
        </w:rPr>
        <w:t>deferred</w:t>
      </w:r>
      <w:r>
        <w:rPr>
          <w:rFonts w:ascii="Times New Roman" w:cs="Times New Roman" w:eastAsia="Times New Roman" w:hAnsi="Times New Roman"/>
          <w:sz w:val="16"/>
          <w:szCs w:val="16"/>
          <w:color w:val="231F20"/>
        </w:rPr>
        <w:t xml:space="preserve"> revenue within the condensed consolidated balance sheets.</w:t>
      </w:r>
    </w:p>
    <w:p>
      <w:pPr>
        <w:spacing w:after="0" w:line="36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20" w:hanging="215"/>
        <w:spacing w:after="0"/>
        <w:tabs>
          <w:tab w:leader="none" w:pos="220" w:val="left"/>
        </w:tabs>
        <w:numPr>
          <w:ilvl w:val="0"/>
          <w:numId w:val="9"/>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Property, Equipment, and Software, Net</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Major </w:t>
      </w:r>
      <w:r>
        <w:rPr>
          <w:rFonts w:ascii="Times New Roman" w:cs="Times New Roman" w:eastAsia="Times New Roman" w:hAnsi="Times New Roman"/>
          <w:sz w:val="18"/>
          <w:szCs w:val="18"/>
          <w:color w:val="000000"/>
        </w:rPr>
        <w:t>classes</w:t>
      </w:r>
      <w:r>
        <w:rPr>
          <w:rFonts w:ascii="Times New Roman" w:cs="Times New Roman" w:eastAsia="Times New Roman" w:hAnsi="Times New Roman"/>
          <w:sz w:val="18"/>
          <w:szCs w:val="18"/>
          <w:color w:val="231F20"/>
        </w:rPr>
        <w:t xml:space="preserve"> of property, equipment, and software were as follows:</w:t>
      </w:r>
    </w:p>
    <w:p>
      <w:pPr>
        <w:spacing w:after="0" w:line="123"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112,222</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(86,384)</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6"/>
            <w:vMerge w:val="restart"/>
          </w:tcPr>
          <w:p>
            <w:pPr>
              <w:jc w:val="right"/>
              <w:ind w:right="492"/>
              <w:spacing w:after="0"/>
              <w:rPr>
                <w:sz w:val="20"/>
                <w:szCs w:val="20"/>
                <w:color w:val="auto"/>
              </w:rPr>
            </w:pPr>
            <w:r>
              <w:rPr>
                <w:rFonts w:ascii="Times New Roman" w:cs="Times New Roman" w:eastAsia="Times New Roman" w:hAnsi="Times New Roman"/>
                <w:sz w:val="18"/>
                <w:szCs w:val="18"/>
                <w:color w:val="231F20"/>
                <w:w w:val="96"/>
              </w:rPr>
              <w:t>Depreciation recorded in the condensed consolidated statements of operations was as follows:</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6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4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4,380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8,541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ind w:left="220" w:hanging="215"/>
        <w:spacing w:after="0"/>
        <w:tabs>
          <w:tab w:leader="none" w:pos="22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Leases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 has operating leases for its office space, which have remaining lease terms of up to six years. The Company does not have finance leases.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Some of these leases include renewal options to extend the leases for up to five years and/or termination options to terminate the leases within one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it is reasonably certain that a renewal or termination option will be exercised, the exercise of the option is considered in calculating the term of the lease.</w:t>
      </w:r>
    </w:p>
    <w:p>
      <w:pPr>
        <w:spacing w:after="0" w:line="9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June 30, 2025, the Company's operating leases had a weighted-average remaining lease term of approximately five years and a weighted-average incremental borrowing rate of 4.1%. As of December 31, 2024, the Company's operating leases had a weighted-average remaining lease term of approximately six years and a weighted-average incremental borrowing rate of 4.1%.</w:t>
      </w:r>
    </w:p>
    <w:p>
      <w:pPr>
        <w:spacing w:after="0" w:line="74" w:lineRule="exact"/>
        <w:rPr>
          <w:sz w:val="20"/>
          <w:szCs w:val="20"/>
          <w:color w:val="auto"/>
        </w:rPr>
      </w:pPr>
    </w:p>
    <w:p>
      <w:pPr>
        <w:ind w:right="540" w:firstLine="473"/>
        <w:spacing w:after="0" w:line="268" w:lineRule="auto"/>
        <w:rPr>
          <w:sz w:val="20"/>
          <w:szCs w:val="20"/>
          <w:color w:val="auto"/>
        </w:rPr>
      </w:pPr>
      <w:r>
        <w:rPr>
          <w:rFonts w:ascii="Times New Roman" w:cs="Times New Roman" w:eastAsia="Times New Roman" w:hAnsi="Times New Roman"/>
          <w:sz w:val="18"/>
          <w:szCs w:val="18"/>
          <w:color w:val="auto"/>
        </w:rPr>
        <w:t>Cash paid for amounts included in operating lease liabilities was $1.3 million and $2.4 million for the three and six months ended June 30, 2025, respectively, and $1.2 million and $2.4 million for the three and six months ended June 30, 2024, respectively.</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Short-term lease cost</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1,325</w:t>
            </w:r>
          </w:p>
        </w:tc>
        <w:tc>
          <w:tcPr>
            <w:tcW w:w="100" w:type="dxa"/>
            <w:vAlign w:val="bottom"/>
          </w:tcPr>
          <w:p>
            <w:pPr>
              <w:spacing w:after="0"/>
              <w:rPr>
                <w:sz w:val="18"/>
                <w:szCs w:val="18"/>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1,203</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3"/>
        </w:trPr>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8"/>
        </w:trPr>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1,372</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1,211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-617220</wp:posOffset>
            </wp:positionV>
            <wp:extent cx="6543675" cy="150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3675" cy="15049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-325120</wp:posOffset>
            </wp:positionV>
            <wp:extent cx="6543675" cy="141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367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840"/>
          </w:cols>
          <w:pgMar w:left="320" w:top="119" w:right="419" w:bottom="1440" w:gutter="0" w:footer="0" w:header="0"/>
          <w:type w:val="continuous"/>
        </w:sectPr>
      </w:pPr>
    </w:p>
    <w:p>
      <w:pPr>
        <w:spacing w:after="0" w:line="28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13" w:name="page14"/>
    <w:bookmarkEnd w:id="1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473"/>
        <w:spacing w:after="0" w:line="252" w:lineRule="auto"/>
        <w:rPr>
          <w:sz w:val="20"/>
          <w:szCs w:val="20"/>
          <w:color w:val="auto"/>
        </w:rPr>
      </w:pPr>
      <w:r>
        <w:rPr>
          <w:rFonts w:ascii="Times New Roman" w:cs="Times New Roman" w:eastAsia="Times New Roman" w:hAnsi="Times New Roman"/>
          <w:sz w:val="18"/>
          <w:szCs w:val="18"/>
          <w:color w:val="auto"/>
        </w:rPr>
        <w:t>As of June 30, 2025, the Company had a remaining contractual obligation of $1.2 million related to a short-term lease to be paid over the following two years.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spacing w:after="0" w:line="77"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03"/>
        </w:trPr>
        <w:tc>
          <w:tcPr>
            <w:tcW w:w="2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0"/>
        </w:trPr>
        <w:tc>
          <w:tcPr>
            <w:tcW w:w="24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3"/>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7"/>
        </w:trPr>
        <w:tc>
          <w:tcPr>
            <w:tcW w:w="240" w:type="dxa"/>
            <w:vAlign w:val="bottom"/>
          </w:tcPr>
          <w:p>
            <w:pPr>
              <w:spacing w:after="0"/>
              <w:rPr>
                <w:sz w:val="18"/>
                <w:szCs w:val="18"/>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23"/>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3"/>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23"/>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3"/>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23"/>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17"/>
        </w:trPr>
        <w:tc>
          <w:tcPr>
            <w:tcW w:w="240" w:type="dxa"/>
            <w:vAlign w:val="bottom"/>
          </w:tcPr>
          <w:p>
            <w:pPr>
              <w:spacing w:after="0"/>
              <w:rPr>
                <w:sz w:val="18"/>
                <w:szCs w:val="18"/>
                <w:color w:val="auto"/>
              </w:rPr>
            </w:pPr>
          </w:p>
        </w:tc>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26,033</w:t>
            </w:r>
          </w:p>
        </w:tc>
      </w:tr>
      <w:tr>
        <w:trPr>
          <w:trHeight w:val="223"/>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17"/>
        </w:trPr>
        <w:tc>
          <w:tcPr>
            <w:tcW w:w="240" w:type="dxa"/>
            <w:vAlign w:val="bottom"/>
          </w:tcPr>
          <w:p>
            <w:pPr>
              <w:spacing w:after="0"/>
              <w:rPr>
                <w:sz w:val="18"/>
                <w:szCs w:val="18"/>
                <w:color w:val="auto"/>
              </w:rPr>
            </w:pPr>
          </w:p>
        </w:tc>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r>
      <w:tr>
        <w:trPr>
          <w:trHeight w:val="223"/>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42"/>
        </w:trPr>
        <w:tc>
          <w:tcPr>
            <w:tcW w:w="240" w:type="dxa"/>
            <w:vAlign w:val="bottom"/>
          </w:tcPr>
          <w:p>
            <w:pPr>
              <w:spacing w:after="0"/>
              <w:rPr>
                <w:sz w:val="20"/>
                <w:szCs w:val="20"/>
                <w:color w:val="auto"/>
              </w:rPr>
            </w:pPr>
          </w:p>
        </w:tc>
        <w:tc>
          <w:tcPr>
            <w:tcW w:w="8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w:t>
            </w:r>
          </w:p>
        </w:tc>
      </w:tr>
      <w:tr>
        <w:trPr>
          <w:trHeight w:val="20"/>
        </w:trPr>
        <w:tc>
          <w:tcPr>
            <w:tcW w:w="240" w:type="dxa"/>
            <w:vAlign w:val="bottom"/>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6. </w:t>
      </w:r>
      <w:r>
        <w:rPr>
          <w:rFonts w:ascii="Times New Roman" w:cs="Times New Roman" w:eastAsia="Times New Roman" w:hAnsi="Times New Roman"/>
          <w:sz w:val="21"/>
          <w:szCs w:val="21"/>
          <w:b w:val="1"/>
          <w:bCs w:val="1"/>
          <w:i w:val="1"/>
          <w:iCs w:val="1"/>
          <w:color w:val="231F20"/>
        </w:rPr>
        <w:t>Intangible Assets,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were as follows: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As of June 30, 2025</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40" w:type="dxa"/>
            <w:vAlign w:val="bottom"/>
            <w:gridSpan w:val="2"/>
          </w:tcPr>
          <w:p>
            <w:pPr>
              <w:jc w:val="center"/>
              <w:ind w:right="1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1"/>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As of December 31, 2024</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40" w:type="dxa"/>
            <w:vAlign w:val="bottom"/>
            <w:gridSpan w:val="2"/>
          </w:tcPr>
          <w:p>
            <w:pPr>
              <w:jc w:val="center"/>
              <w:ind w:right="1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4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4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2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p>
      <w:pPr>
        <w:spacing w:after="0" w:line="117"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2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0" w:type="dxa"/>
            <w:vAlign w:val="bottom"/>
          </w:tcPr>
          <w:p>
            <w:pPr>
              <w:spacing w:after="0"/>
              <w:rPr>
                <w:sz w:val="1"/>
                <w:szCs w:val="1"/>
                <w:color w:val="auto"/>
              </w:rPr>
            </w:pPr>
          </w:p>
        </w:tc>
      </w:tr>
      <w:tr>
        <w:trPr>
          <w:trHeight w:val="233"/>
        </w:trPr>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was as follows:</w:t>
            </w: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4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7. </w:t>
      </w:r>
      <w:r>
        <w:rPr>
          <w:rFonts w:ascii="Times New Roman" w:cs="Times New Roman" w:eastAsia="Times New Roman" w:hAnsi="Times New Roman"/>
          <w:sz w:val="21"/>
          <w:szCs w:val="21"/>
          <w:b w:val="1"/>
          <w:bCs w:val="1"/>
          <w:i w:val="1"/>
          <w:iCs w:val="1"/>
          <w:color w:val="231F20"/>
        </w:rPr>
        <w:t>Accrued Liabilities</w:t>
      </w:r>
    </w:p>
    <w:p>
      <w:pPr>
        <w:spacing w:after="0" w:line="126"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03"/>
        </w:trPr>
        <w:tc>
          <w:tcPr>
            <w:tcW w:w="2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0" w:type="dxa"/>
            <w:vAlign w:val="bottom"/>
          </w:tcPr>
          <w:p>
            <w:pPr>
              <w:spacing w:after="0"/>
              <w:rPr>
                <w:sz w:val="24"/>
                <w:szCs w:val="24"/>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3"/>
        </w:trPr>
        <w:tc>
          <w:tcPr>
            <w:tcW w:w="24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0"/>
        </w:trPr>
        <w:tc>
          <w:tcPr>
            <w:tcW w:w="240" w:type="dxa"/>
            <w:vAlign w:val="bottom"/>
          </w:tcPr>
          <w:p>
            <w:pPr>
              <w:spacing w:after="0"/>
              <w:rPr>
                <w:sz w:val="19"/>
                <w:szCs w:val="19"/>
                <w:color w:val="auto"/>
              </w:rPr>
            </w:pPr>
          </w:p>
        </w:tc>
        <w:tc>
          <w:tcPr>
            <w:tcW w:w="7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7"/>
        </w:trPr>
        <w:tc>
          <w:tcPr>
            <w:tcW w:w="240" w:type="dxa"/>
            <w:vAlign w:val="bottom"/>
          </w:tcPr>
          <w:p>
            <w:pPr>
              <w:spacing w:after="0"/>
              <w:rPr>
                <w:sz w:val="18"/>
                <w:szCs w:val="18"/>
                <w:color w:val="auto"/>
              </w:rPr>
            </w:pPr>
          </w:p>
        </w:tc>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39,985</w:t>
            </w:r>
          </w:p>
        </w:tc>
      </w:tr>
      <w:tr>
        <w:trPr>
          <w:trHeight w:val="223"/>
        </w:trPr>
        <w:tc>
          <w:tcPr>
            <w:tcW w:w="240" w:type="dxa"/>
            <w:vAlign w:val="bottom"/>
          </w:tcPr>
          <w:p>
            <w:pPr>
              <w:spacing w:after="0"/>
              <w:rPr>
                <w:sz w:val="19"/>
                <w:szCs w:val="19"/>
                <w:color w:val="auto"/>
              </w:rPr>
            </w:pPr>
          </w:p>
        </w:tc>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42"/>
        </w:trPr>
        <w:tc>
          <w:tcPr>
            <w:tcW w:w="240" w:type="dxa"/>
            <w:vAlign w:val="bottom"/>
          </w:tcPr>
          <w:p>
            <w:pPr>
              <w:spacing w:after="0"/>
              <w:rPr>
                <w:sz w:val="20"/>
                <w:szCs w:val="20"/>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47,352</w:t>
            </w:r>
          </w:p>
        </w:tc>
      </w:tr>
      <w:tr>
        <w:trPr>
          <w:trHeight w:val="20"/>
        </w:trPr>
        <w:tc>
          <w:tcPr>
            <w:tcW w:w="240" w:type="dxa"/>
            <w:vAlign w:val="bottom"/>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40" w:firstLine="473"/>
        <w:spacing w:after="0" w:line="252" w:lineRule="auto"/>
        <w:rPr>
          <w:sz w:val="20"/>
          <w:szCs w:val="20"/>
          <w:color w:val="auto"/>
        </w:rPr>
      </w:pPr>
      <w:r>
        <w:rPr>
          <w:rFonts w:ascii="Times New Roman" w:cs="Times New Roman" w:eastAsia="Times New Roman" w:hAnsi="Times New Roman"/>
          <w:sz w:val="18"/>
          <w:szCs w:val="18"/>
          <w:color w:val="auto"/>
        </w:rPr>
        <w:t>As of June 30, 2025 and December 31, 2024, the Company had a balance of $0.6 million and $0.3 million, respectively, payable to related parties for expenses such related parties incurred on the Company's behalf, which was recorded within accrued liabilities on the condensed consolidated balance sheets. The related expense incurred by the Company was $0.7 million and $1.1 million for the three and six months ended June 30, 2025, respectively, and $0.4 million and $0.6 million for the three and six months ended June 30, 2024, respectively.</w:t>
      </w:r>
    </w:p>
    <w:p>
      <w:pPr>
        <w:spacing w:after="0" w:line="287" w:lineRule="exact"/>
        <w:rPr>
          <w:sz w:val="20"/>
          <w:szCs w:val="20"/>
          <w:color w:val="auto"/>
        </w:rPr>
      </w:pPr>
    </w:p>
    <w:p>
      <w:pPr>
        <w:ind w:left="220" w:hanging="215"/>
        <w:spacing w:after="0"/>
        <w:tabs>
          <w:tab w:leader="none" w:pos="220" w:val="left"/>
        </w:tabs>
        <w:numPr>
          <w:ilvl w:val="0"/>
          <w:numId w:val="11"/>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Revolving Credit Facility</w:t>
      </w:r>
    </w:p>
    <w:p>
      <w:pPr>
        <w:spacing w:after="0" w:line="113" w:lineRule="exact"/>
        <w:rPr>
          <w:sz w:val="20"/>
          <w:szCs w:val="20"/>
          <w:color w:val="auto"/>
        </w:rPr>
      </w:pPr>
    </w:p>
    <w:p>
      <w:pPr>
        <w:ind w:firstLine="473"/>
        <w:spacing w:after="0" w:line="288" w:lineRule="auto"/>
        <w:rPr>
          <w:sz w:val="20"/>
          <w:szCs w:val="20"/>
          <w:color w:val="auto"/>
        </w:rPr>
      </w:pPr>
      <w:r>
        <w:rPr>
          <w:rFonts w:ascii="Times New Roman" w:cs="Times New Roman" w:eastAsia="Times New Roman" w:hAnsi="Times New Roman"/>
          <w:sz w:val="16"/>
          <w:szCs w:val="16"/>
          <w:color w:val="231F20"/>
        </w:rPr>
        <w:t>On October 31, 2019, the Company entere</w:t>
      </w:r>
      <w:r>
        <w:rPr>
          <w:rFonts w:ascii="Times New Roman" w:cs="Times New Roman" w:eastAsia="Times New Roman" w:hAnsi="Times New Roman"/>
          <w:sz w:val="16"/>
          <w:szCs w:val="16"/>
          <w:color w:val="000000"/>
        </w:rPr>
        <w:t>d into an asset-based revolving credit and security agreement (the "Loan Agreement") with PNC Bank,</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w:t>
      </w:r>
      <w:r>
        <w:rPr>
          <w:rFonts w:ascii="Times New Roman" w:cs="Times New Roman" w:eastAsia="Times New Roman" w:hAnsi="Times New Roman"/>
          <w:sz w:val="16"/>
          <w:szCs w:val="16"/>
          <w:color w:val="231F20"/>
        </w:rPr>
        <w:t>The Amended Loan Agreement is collateralized by security interests in substantially all of the Company's assets.</w:t>
      </w:r>
    </w:p>
    <w:p>
      <w:pPr>
        <w:spacing w:after="0" w:line="53" w:lineRule="exact"/>
        <w:rPr>
          <w:sz w:val="20"/>
          <w:szCs w:val="20"/>
          <w:color w:val="auto"/>
        </w:rPr>
      </w:pPr>
    </w:p>
    <w:p>
      <w:pPr>
        <w:jc w:val="both"/>
        <w:ind w:right="80" w:firstLine="473"/>
        <w:spacing w:after="0" w:line="249" w:lineRule="auto"/>
        <w:rPr>
          <w:sz w:val="20"/>
          <w:szCs w:val="20"/>
          <w:color w:val="auto"/>
        </w:rPr>
      </w:pPr>
      <w:r>
        <w:rPr>
          <w:rFonts w:ascii="Times New Roman" w:cs="Times New Roman" w:eastAsia="Times New Roman" w:hAnsi="Times New Roman"/>
          <w:sz w:val="18"/>
          <w:szCs w:val="18"/>
          <w:color w:val="231F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w:t>
      </w:r>
    </w:p>
    <w:p>
      <w:pPr>
        <w:sectPr>
          <w:pgSz w:w="11900" w:h="16838" w:orient="portrait"/>
          <w:cols w:equalWidth="0" w:num="1">
            <w:col w:w="11240"/>
          </w:cols>
          <w:pgMar w:left="320" w:top="119" w:right="339" w:bottom="1440" w:gutter="0" w:footer="0" w:header="0"/>
        </w:sectPr>
      </w:pP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231F20"/>
        </w:rPr>
        <w:t>(as defined in the Amended Loan Agreement) plus the SOFR Adjustment of 0.10% plus an applicable margin. The applicable margin is between 1.00% to 1.25% for Domestic Rate Loans and between 2.00% and 2.25% for Term SOFR Rate Loans based on the average undrawn availability under the revolving credit facility. The applicable margin as of June 30, 2025 was equal to 1.00% for Domestic Rate Loans and 2.00% for Term SOFR Rate Loans. The facility fee for undrawn amounts under the Amended Loan Agreement is 0.375% per annum; additionally, the Company pays customary letter of credit fees as applicable.</w:t>
      </w:r>
    </w:p>
    <w:p>
      <w:pPr>
        <w:spacing w:after="0" w:line="48"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231F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 w:cs="Times New Roman" w:eastAsia="Times New Roman" w:hAnsi="Times New Roman"/>
          <w:sz w:val="18"/>
          <w:szCs w:val="18"/>
          <w:color w:val="000000"/>
        </w:rPr>
        <w:t>The Amended Loan Agreement also requires that the Company maintain compliance with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minimum Fixed Charge Coverage Ratio (as defined in the Amended Loan Agreement) of 1.40 to 1.00 at any time undrawn availability is less than 25%.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June 30, 2025, the Company was in compliance with all applicable covenants under the Amended Loan Agreement.</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Company did not have an outstanding balance under the revolving credit facility as of June 30, 2025 and December 31, 2024.</w:t>
      </w:r>
    </w:p>
    <w:p>
      <w:pPr>
        <w:spacing w:after="0" w:line="319" w:lineRule="exact"/>
        <w:rPr>
          <w:sz w:val="20"/>
          <w:szCs w:val="20"/>
          <w:color w:val="auto"/>
        </w:rPr>
      </w:pPr>
    </w:p>
    <w:p>
      <w:pPr>
        <w:ind w:left="220" w:hanging="215"/>
        <w:spacing w:after="0"/>
        <w:tabs>
          <w:tab w:leader="none" w:pos="220" w:val="left"/>
        </w:tabs>
        <w:numPr>
          <w:ilvl w:val="0"/>
          <w:numId w:val="12"/>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Stockholders'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12" w:lineRule="exact"/>
        <w:rPr>
          <w:sz w:val="20"/>
          <w:szCs w:val="20"/>
          <w:color w:val="auto"/>
        </w:rPr>
      </w:pPr>
    </w:p>
    <w:p>
      <w:pPr>
        <w:ind w:right="20" w:firstLine="473"/>
        <w:spacing w:after="0" w:line="282" w:lineRule="auto"/>
        <w:rPr>
          <w:sz w:val="20"/>
          <w:szCs w:val="20"/>
          <w:color w:val="auto"/>
        </w:rPr>
      </w:pPr>
      <w:r>
        <w:rPr>
          <w:rFonts w:ascii="Times New Roman" w:cs="Times New Roman" w:eastAsia="Times New Roman" w:hAnsi="Times New Roman"/>
          <w:sz w:val="16"/>
          <w:szCs w:val="16"/>
          <w:color w:val="231F20"/>
        </w:rPr>
        <w:t xml:space="preserve">The Company is authorized to grant restricted stock units ("RSUs"), incentive stock options, nonqualified stock options ("NQSOs"), stock appreciation rights, restricted stock awards, and performance stock awards under its 2021 Long Term Incentive Plan (the “LTIP”). </w:t>
      </w:r>
      <w:r>
        <w:rPr>
          <w:rFonts w:ascii="Times New Roman" w:cs="Times New Roman" w:eastAsia="Times New Roman" w:hAnsi="Times New Roman"/>
          <w:sz w:val="16"/>
          <w:szCs w:val="16"/>
          <w:color w:val="000000"/>
        </w:rPr>
        <w:t>RSUs granted to employees generally vest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over a period of three-to-four years, contingent upon continued employment through the vesting date. RSUs awarded to members of our board of directors (the "board") upon their initial appointment vest over a three-year period on each of the first, second, and third anniversaries of the date of appointment. Board members are also awarded annual grants of RSUs on the date of each annual meeting of Viant's stockholders (the "annual meeting") that vest in full on the earlier of (i) the date of the following year’s annual meeting or (ii) the first anniversary of the date of grant. If board members are appointed on a date other than the date of an annual meeting, such board members will receive a prorated annual grant of RSUs vesting in full on the date of the next annual meeting. As of June 30, 2025, NQSOs generally vest over a period of two-to-four years and have a contractual term of ten years.</w:t>
      </w:r>
    </w:p>
    <w:p>
      <w:pPr>
        <w:spacing w:after="0" w:line="58" w:lineRule="exact"/>
        <w:rPr>
          <w:sz w:val="20"/>
          <w:szCs w:val="20"/>
          <w:color w:val="auto"/>
        </w:rPr>
      </w:pPr>
    </w:p>
    <w:p>
      <w:pPr>
        <w:ind w:right="340" w:firstLine="473"/>
        <w:spacing w:after="0" w:line="26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Company had only granted RSUs and NQSOs under the LTIP. Under the LTIP, 6.6 million shares of Class A common stock remained available for grant 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7"/>
          </w:tcPr>
          <w:p>
            <w:pPr>
              <w:ind w:left="5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1,819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2,489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2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6,343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5,537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RSUs</w:t>
            </w:r>
          </w:p>
        </w:tc>
        <w:tc>
          <w:tcPr>
            <w:tcW w:w="460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720" w:type="dxa"/>
            <w:vAlign w:val="bottom"/>
            <w:vMerge w:val="continue"/>
          </w:tcPr>
          <w:p>
            <w:pPr>
              <w:spacing w:after="0"/>
              <w:rPr>
                <w:sz w:val="24"/>
                <w:szCs w:val="24"/>
                <w:color w:val="auto"/>
              </w:rPr>
            </w:pPr>
          </w:p>
        </w:tc>
        <w:tc>
          <w:tcPr>
            <w:tcW w:w="4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520"/>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3"/>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as of December 31, 2024</w:t>
            </w:r>
          </w:p>
        </w:tc>
        <w:tc>
          <w:tcPr>
            <w:tcW w:w="8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Canceled/forfeited</w:t>
            </w:r>
          </w:p>
        </w:tc>
        <w:tc>
          <w:tcPr>
            <w:tcW w:w="8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as of June 30, 2025</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2"/>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2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473"/>
        <w:spacing w:after="0" w:line="268" w:lineRule="auto"/>
        <w:rPr>
          <w:sz w:val="20"/>
          <w:szCs w:val="20"/>
          <w:color w:val="auto"/>
        </w:rPr>
      </w:pPr>
      <w:r>
        <w:rPr>
          <w:rFonts w:ascii="Times New Roman" w:cs="Times New Roman" w:eastAsia="Times New Roman" w:hAnsi="Times New Roman"/>
          <w:sz w:val="18"/>
          <w:szCs w:val="18"/>
          <w:color w:val="auto"/>
        </w:rPr>
        <w:t>As of June 30, 2025, the Company had unrecognized stock-based compensation relating to RSUs of approximately $53.2 million, which is expected to be recognized over a weighted-average period of 2.1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NQSOs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5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summarizes NQSO activity:</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4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5"/>
                <w:szCs w:val="15"/>
                <w:color w:val="auto"/>
              </w:rPr>
            </w:pPr>
          </w:p>
        </w:tc>
        <w:tc>
          <w:tcPr>
            <w:tcW w:w="124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4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6"/>
              </w:rPr>
              <w:t>Contractual</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44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5"/>
                <w:szCs w:val="15"/>
                <w:color w:val="auto"/>
              </w:rPr>
            </w:pPr>
          </w:p>
        </w:tc>
        <w:tc>
          <w:tcPr>
            <w:tcW w:w="1240" w:type="dxa"/>
            <w:vAlign w:val="bottom"/>
          </w:tcPr>
          <w:p>
            <w:pPr>
              <w:jc w:val="center"/>
              <w:ind w:right="32"/>
              <w:spacing w:after="0" w:line="174"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360" w:type="dxa"/>
            <w:vAlign w:val="bottom"/>
            <w:gridSpan w:val="2"/>
          </w:tcPr>
          <w:p>
            <w:pPr>
              <w:jc w:val="center"/>
              <w:spacing w:after="0" w:line="233" w:lineRule="exact"/>
              <w:rPr>
                <w:sz w:val="20"/>
                <w:szCs w:val="20"/>
                <w:color w:val="auto"/>
              </w:rPr>
            </w:pPr>
            <w:r>
              <w:rPr>
                <w:rFonts w:ascii="Times New Roman" w:cs="Times New Roman" w:eastAsia="Times New Roman" w:hAnsi="Times New Roman"/>
                <w:sz w:val="18"/>
                <w:szCs w:val="18"/>
                <w:b w:val="1"/>
                <w:bCs w:val="1"/>
                <w:color w:val="auto"/>
                <w:w w:val="94"/>
              </w:rPr>
              <w:t>(in thousands)</w:t>
            </w:r>
            <w:r>
              <w:rPr>
                <w:rFonts w:ascii="Times New Roman" w:cs="Times New Roman" w:eastAsia="Times New Roman" w:hAnsi="Times New Roman"/>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 outstanding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6"/>
              </w:rPr>
              <w:t>66,959</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 outstanding as of June 30,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5"/>
              </w:rPr>
              <w:t>$34,653</w:t>
            </w: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6"/>
              </w:rPr>
              <w:t>28,437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40" w:right="240" w:hanging="319"/>
        <w:spacing w:after="0" w:line="268"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aggregate intrinsic value is calculated as the difference between the exercise price of the underlying stock option awards and the closing market price of our Class A common stock as of June 30, 2025 and December 31, 2024</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right="320" w:firstLine="473"/>
        <w:spacing w:after="0" w:line="268" w:lineRule="auto"/>
        <w:rPr>
          <w:sz w:val="20"/>
          <w:szCs w:val="20"/>
          <w:color w:val="auto"/>
        </w:rPr>
      </w:pPr>
      <w:r>
        <w:rPr>
          <w:rFonts w:ascii="Times New Roman" w:cs="Times New Roman" w:eastAsia="Times New Roman" w:hAnsi="Times New Roman"/>
          <w:sz w:val="18"/>
          <w:szCs w:val="18"/>
          <w:color w:val="auto"/>
        </w:rPr>
        <w:t>As of June 30, 2025, the Company had unrecognized stock-based compensation relating to unvested NQSOs of approximately $4.2 million, which is expected to be recognized over a weighted-average period of 1.1 years.</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assumptions used in the Black-Scholes model to determine the fair value of NQSOs were as follows:</w:t>
      </w:r>
    </w:p>
    <w:p>
      <w:pPr>
        <w:spacing w:after="0" w:line="13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and Six Months Ended</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7280" w:type="dxa"/>
            <w:vAlign w:val="bottom"/>
            <w:tcBorders>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Borders>
              <w:top w:val="single" w:sz="8" w:color="auto"/>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74.4%</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r>
      <w:tr>
        <w:trPr>
          <w:trHeight w:val="22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bl>
    <w:p>
      <w:pPr>
        <w:spacing w:after="0" w:line="159" w:lineRule="exact"/>
        <w:rPr>
          <w:sz w:val="20"/>
          <w:szCs w:val="20"/>
          <w:color w:val="auto"/>
        </w:rPr>
      </w:pPr>
    </w:p>
    <w:p>
      <w:pPr>
        <w:ind w:right="580" w:firstLine="473"/>
        <w:spacing w:after="0" w:line="270" w:lineRule="auto"/>
        <w:rPr>
          <w:sz w:val="20"/>
          <w:szCs w:val="20"/>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maturities similar to those of the expected term of the award being valued.</w:t>
      </w:r>
    </w:p>
    <w:p>
      <w:pPr>
        <w:spacing w:after="0" w:line="60" w:lineRule="exact"/>
        <w:rPr>
          <w:sz w:val="20"/>
          <w:szCs w:val="20"/>
          <w:color w:val="auto"/>
        </w:rPr>
      </w:pPr>
    </w:p>
    <w:p>
      <w:pPr>
        <w:jc w:val="both"/>
        <w:ind w:right="120" w:firstLine="473"/>
        <w:spacing w:after="0" w:line="252" w:lineRule="auto"/>
        <w:rPr>
          <w:sz w:val="20"/>
          <w:szCs w:val="20"/>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Due to the limited trading history of the Company’s Class A common stock, the expected volatility assumption is based on both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spacing w:after="0" w:line="77" w:lineRule="exact"/>
        <w:rPr>
          <w:sz w:val="20"/>
          <w:szCs w:val="20"/>
          <w:color w:val="auto"/>
        </w:rPr>
      </w:pPr>
    </w:p>
    <w:p>
      <w:pPr>
        <w:jc w:val="both"/>
        <w:ind w:firstLine="473"/>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Given the insufficient historical data relating to NQSO exercises, the expected term assumption is based on the simplified method, which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uses the midpoint of the weighted-average vesting period and the contractual term. The Company will continue to apply this process until a sufficient amount of historical information regarding the Company’s NQSO exercises becomes available.</w:t>
      </w:r>
    </w:p>
    <w:p>
      <w:pPr>
        <w:spacing w:after="0" w:line="71" w:lineRule="exact"/>
        <w:rPr>
          <w:sz w:val="20"/>
          <w:szCs w:val="20"/>
          <w:color w:val="auto"/>
        </w:rPr>
      </w:pPr>
    </w:p>
    <w:p>
      <w:pPr>
        <w:ind w:right="60" w:firstLine="473"/>
        <w:spacing w:after="0" w:line="270" w:lineRule="auto"/>
        <w:rPr>
          <w:sz w:val="20"/>
          <w:szCs w:val="20"/>
          <w:color w:val="auto"/>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Company’s expected dividend yield assumption is zero as it has never paid dividends and has no present intention to do so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2" w:lineRule="exact"/>
        <w:rPr>
          <w:sz w:val="20"/>
          <w:szCs w:val="20"/>
          <w:color w:val="auto"/>
        </w:rPr>
      </w:pPr>
    </w:p>
    <w:p>
      <w:pPr>
        <w:ind w:right="260" w:firstLine="473"/>
        <w:spacing w:after="0" w:line="252" w:lineRule="auto"/>
        <w:rPr>
          <w:sz w:val="20"/>
          <w:szCs w:val="20"/>
          <w:color w:val="auto"/>
        </w:rPr>
      </w:pPr>
      <w:r>
        <w:rPr>
          <w:rFonts w:ascii="Times New Roman" w:cs="Times New Roman" w:eastAsia="Times New Roman" w:hAnsi="Times New Roman"/>
          <w:sz w:val="18"/>
          <w:szCs w:val="18"/>
          <w:color w:val="auto"/>
        </w:rPr>
        <w:t>On April 23, 2024, the Company's board approved a stock repurchase program with authorization to purchase up to $50 million in shares of the Company's Class A common stock or Class B units of Viant Technology LLC. On May 5, 2025, the Company's board authorized an increase to the stock repurchase program, enabling the Company to repurchase up to an additional $50 million of the Company's Class A common stock or Class B units of Viant Technology LLC. As of June 30, 2025, $50.4 million remained available under the stock repurchase program.</w:t>
      </w:r>
    </w:p>
    <w:p>
      <w:pPr>
        <w:sectPr>
          <w:pgSz w:w="11900" w:h="16838" w:orient="portrait"/>
          <w:cols w:equalWidth="0" w:num="1">
            <w:col w:w="11240"/>
          </w:cols>
          <w:pgMar w:left="320" w:top="119" w:right="339" w:bottom="1440" w:gutter="0" w:footer="0" w:header="0"/>
        </w:sectPr>
      </w:pP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auto"/>
        </w:rPr>
        <w:t>The Company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Shares of Class A common stock and Class B units repurchased by the Company under the stock repurchase program were as follows (in thousands):</w:t>
      </w:r>
    </w:p>
    <w:p>
      <w:pPr>
        <w:spacing w:after="0" w:line="140"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60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0"/>
        </w:trPr>
        <w:tc>
          <w:tcPr>
            <w:tcW w:w="460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12"/>
              <w:spacing w:after="0" w:line="220"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2"/>
                <w:szCs w:val="22"/>
                <w:b w:val="1"/>
                <w:bCs w:val="1"/>
                <w:color w:val="auto"/>
                <w:vertAlign w:val="superscript"/>
              </w:rPr>
              <w:t>(1)</w:t>
            </w:r>
          </w:p>
        </w:tc>
        <w:tc>
          <w:tcPr>
            <w:tcW w:w="100" w:type="dxa"/>
            <w:vAlign w:val="bottom"/>
          </w:tcPr>
          <w:p>
            <w:pPr>
              <w:spacing w:after="0"/>
              <w:rPr>
                <w:sz w:val="19"/>
                <w:szCs w:val="19"/>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9"/>
                <w:szCs w:val="19"/>
                <w:color w:val="auto"/>
              </w:rPr>
            </w:pPr>
          </w:p>
        </w:tc>
        <w:tc>
          <w:tcPr>
            <w:tcW w:w="1160" w:type="dxa"/>
            <w:vAlign w:val="bottom"/>
          </w:tcPr>
          <w:p>
            <w:pPr>
              <w:jc w:val="right"/>
              <w:ind w:right="232"/>
              <w:spacing w:after="0" w:line="220"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2"/>
                <w:szCs w:val="22"/>
                <w:b w:val="1"/>
                <w:bCs w:val="1"/>
                <w:color w:val="auto"/>
                <w:vertAlign w:val="superscript"/>
              </w:rPr>
              <w:t>(1)</w:t>
            </w:r>
          </w:p>
        </w:tc>
      </w:tr>
      <w:tr>
        <w:trPr>
          <w:trHeight w:val="217"/>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repurchases</w:t>
            </w: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27,971</w:t>
            </w: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Class B unit repurchases</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repurchases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Amount includes costs associated with the repurchase such as commissions.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319" w:lineRule="exact"/>
        <w:rPr>
          <w:sz w:val="20"/>
          <w:szCs w:val="20"/>
          <w:color w:val="auto"/>
        </w:rPr>
      </w:pPr>
    </w:p>
    <w:p>
      <w:pPr>
        <w:ind w:left="320" w:hanging="315"/>
        <w:spacing w:after="0"/>
        <w:tabs>
          <w:tab w:leader="none" w:pos="320" w:val="left"/>
        </w:tabs>
        <w:numPr>
          <w:ilvl w:val="0"/>
          <w:numId w:val="14"/>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Income Taxes and Tax Receivable Agreement</w:t>
      </w:r>
    </w:p>
    <w:p>
      <w:pPr>
        <w:spacing w:after="0" w:line="113" w:lineRule="exact"/>
        <w:rPr>
          <w:sz w:val="20"/>
          <w:szCs w:val="20"/>
          <w:color w:val="auto"/>
        </w:rPr>
      </w:pPr>
    </w:p>
    <w:p>
      <w:pPr>
        <w:ind w:right="80" w:firstLine="473"/>
        <w:spacing w:after="0" w:line="247"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applicable U.S. statutory federal income tax rate of 21% and blended state tax rate to income before provision of income taxes due to various book-tax differences, including state taxes, noncontrolling interest, tax credits and valuation allowance. For the three and six months ended June 30, 2025, the Company recognized an income tax benefit of $0.3 million and $0.4 million, respectively, attributable to the year-to-date loss and excess tax benefit on vested stock-based compensation, resulting in an effective tax rate of (19.4)% and 22.6%, respectively. For the three months ended June 30, 2024, the Company recognized income tax expense of $0.1 million attributable to the excess tax benefits on vested stock-based compensation resulting in an effective tax rate of 6.2%. For the six months ended June 30, 2024 the Company did not recognize an income tax expense, resulting in an effective tax rate of 0.0%.</w:t>
      </w:r>
    </w:p>
    <w:p>
      <w:pPr>
        <w:spacing w:after="0" w:line="86" w:lineRule="exact"/>
        <w:rPr>
          <w:sz w:val="20"/>
          <w:szCs w:val="20"/>
          <w:color w:val="auto"/>
        </w:rPr>
      </w:pPr>
    </w:p>
    <w:p>
      <w:pPr>
        <w:ind w:right="280" w:firstLine="473"/>
        <w:spacing w:after="0" w:line="249" w:lineRule="auto"/>
        <w:rPr>
          <w:sz w:val="20"/>
          <w:szCs w:val="20"/>
          <w:color w:val="auto"/>
        </w:rPr>
      </w:pPr>
      <w:r>
        <w:rPr>
          <w:rFonts w:ascii="Times New Roman" w:cs="Times New Roman" w:eastAsia="Times New Roman" w:hAnsi="Times New Roman"/>
          <w:sz w:val="18"/>
          <w:szCs w:val="18"/>
          <w:color w:val="auto"/>
        </w:rPr>
        <w:t>As of June 30, 2025, management determined based on applicable accounting standards and the weight of all available evidence, that it was not more likely than not (“MLTN”) that the Company will generate sufficient taxable income to realize its deferred tax assets including the difference in tax basis in excess of the financial reporting value for its investment in Viant Technology LLC. Consequently, the Company has established a full valuation allowance against its deferred tax assets as of June 30, 2025. In the event that management subsequently determines that it is MLTN that the Company will realize its deferred tax assets in the future, the valuation allowance will be released, which will reduce the provision for income taxes.</w:t>
      </w:r>
    </w:p>
    <w:p>
      <w:pPr>
        <w:spacing w:after="0" w:line="83"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In connection with its initial public offering ("IPO"), the Company entered into a Tax Receivable Agreement ("TRA") with Viant Technology LLC, continuing members of Viant Technology LLC and the TRA Representative (as defined in the TRA) on February 9, 2021. Due to the valuation allowance, the Company has not recorded a liability related to the remaining tax savings it may realize from utilization of the deferred tax assets except for $0.3 million related to the current portion of the TRA. If utilization of the deferred tax assets subject to the TRA becomes more likely than not in the future, the Company will release the valuation allowance and record a liability related to the TRA.</w:t>
      </w:r>
    </w:p>
    <w:p>
      <w:pPr>
        <w:spacing w:after="0" w:line="83"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enacts significant changes to U.S. tax and related laws. Some of the provisions of the new tax law affecting corporations include, but are not limited to, expensing of domestic specified research or experimental expenditures and 100% bonus depreciation on eligible property acquired after January 19, 2025. The Company is currently evaluating the impact the OBBBA will have on its financial statements.</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b w:val="1"/>
          <w:bCs w:val="1"/>
          <w:color w:val="231F20"/>
        </w:rPr>
        <w:t>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231F20"/>
        </w:rPr>
        <w:t>Earnings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231F20"/>
        </w:rPr>
        <w:t>(</w:t>
      </w:r>
      <w:r>
        <w:rPr>
          <w:rFonts w:ascii="Times New Roman" w:cs="Times New Roman" w:eastAsia="Times New Roman" w:hAnsi="Times New Roman"/>
          <w:sz w:val="21"/>
          <w:szCs w:val="21"/>
          <w:b w:val="1"/>
          <w:bCs w:val="1"/>
          <w:i w:val="1"/>
          <w:iCs w:val="1"/>
          <w:color w:val="231F20"/>
        </w:rPr>
        <w:t>Loss) Per Share</w:t>
      </w:r>
    </w:p>
    <w:p>
      <w:pPr>
        <w:spacing w:after="0" w:line="113"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 and 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basic earnings (loss) per share has been calculated by dividing net income (loss) attributable to Class A common stockholders by the weighted-average number of shares of Class A common stock outstanding for the same period.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earnings (loss) per share has been calculated in a manner consistent with that of basic earnings (loss) per share while considering all potentially dilutive shares of Class A common stock outstanding during the period.</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following</w:t>
      </w:r>
      <w:r>
        <w:rPr>
          <w:rFonts w:ascii="Times New Roman" w:cs="Times New Roman" w:eastAsia="Times New Roman" w:hAnsi="Times New Roman"/>
          <w:sz w:val="18"/>
          <w:szCs w:val="18"/>
          <w:color w:val="231F20"/>
        </w:rPr>
        <w:t xml:space="preserve"> table presents the calculation of basic and diluted earnings (loss) per share for the </w:t>
      </w:r>
      <w:r>
        <w:rPr>
          <w:rFonts w:ascii="Times New Roman" w:cs="Times New Roman" w:eastAsia="Times New Roman" w:hAnsi="Times New Roman"/>
          <w:sz w:val="18"/>
          <w:szCs w:val="18"/>
          <w:color w:val="000000"/>
        </w:rPr>
        <w:t>periods presented:</w:t>
      </w:r>
    </w:p>
    <w:p>
      <w:pPr>
        <w:spacing w:after="0" w:line="12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30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1,787</w:t>
            </w:r>
          </w:p>
        </w:tc>
        <w:tc>
          <w:tcPr>
            <w:tcW w:w="10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Inc.—basic</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60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6"/>
                <w:szCs w:val="16"/>
                <w:color w:val="auto"/>
              </w:rPr>
              <w:t>Add back: Reallocation of net income (loss) attributable to</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noncontrolling interest from the assumed exchange of RSUs</w:t>
            </w:r>
          </w:p>
        </w:tc>
        <w:tc>
          <w:tcPr>
            <w:tcW w:w="8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NQSOs for Class A common stock</w:t>
            </w:r>
          </w:p>
        </w:tc>
        <w:tc>
          <w:tcPr>
            <w:tcW w:w="86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60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Income tax benefit (expense) from the assumed exchange of</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securities for Class A common stock</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Net income (loss) attributable to Viant Technology, Inc.—diluted</w:t>
            </w:r>
          </w:p>
        </w:tc>
        <w:tc>
          <w:tcPr>
            <w:tcW w:w="86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w w:val="99"/>
              </w:rPr>
              <w:t>Weighted-average shares of Class A common stock outstanding</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15,996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46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8"/>
                <w:szCs w:val="18"/>
                <w:color w:val="auto"/>
                <w:w w:val="99"/>
              </w:rPr>
              <w:t>Weighted-average shares of Class A common stock outstanding</w:t>
            </w:r>
          </w:p>
        </w:tc>
        <w:tc>
          <w:tcPr>
            <w:tcW w:w="8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19,903</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19,235</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0" w:type="dxa"/>
            <w:vAlign w:val="bottom"/>
          </w:tcPr>
          <w:p>
            <w:pPr>
              <w:spacing w:after="0"/>
              <w:rPr>
                <w:sz w:val="1"/>
                <w:szCs w:val="1"/>
                <w:color w:val="auto"/>
              </w:rPr>
            </w:pPr>
          </w:p>
        </w:tc>
      </w:tr>
      <w:tr>
        <w:trPr>
          <w:trHeight w:val="222"/>
        </w:trPr>
        <w:tc>
          <w:tcPr>
            <w:tcW w:w="46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860" w:type="dxa"/>
            <w:vAlign w:val="bottom"/>
            <w:tcBorders>
              <w:bottom w:val="single" w:sz="8" w:color="auto"/>
            </w:tcBorders>
          </w:tcPr>
          <w:p>
            <w:pPr>
              <w:jc w:val="right"/>
              <w:ind w:right="6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60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8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46,696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46,985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0" w:type="dxa"/>
            <w:vAlign w:val="bottom"/>
          </w:tcPr>
          <w:p>
            <w:pPr>
              <w:spacing w:after="0"/>
              <w:rPr>
                <w:sz w:val="1"/>
                <w:szCs w:val="1"/>
                <w:color w:val="auto"/>
              </w:rPr>
            </w:pPr>
          </w:p>
        </w:tc>
      </w:tr>
      <w:tr>
        <w:trPr>
          <w:trHeight w:val="159"/>
        </w:trPr>
        <w:tc>
          <w:tcPr>
            <w:tcW w:w="4600" w:type="dxa"/>
            <w:vAlign w:val="bottom"/>
          </w:tcPr>
          <w:p>
            <w:pPr>
              <w:spacing w:after="0" w:line="159"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 A</w:t>
            </w:r>
          </w:p>
        </w:tc>
        <w:tc>
          <w:tcPr>
            <w:tcW w:w="8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46,696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46,985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56,523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57,243</w:t>
            </w:r>
          </w:p>
        </w:tc>
        <w:tc>
          <w:tcPr>
            <w:tcW w:w="0" w:type="dxa"/>
            <w:vAlign w:val="bottom"/>
          </w:tcPr>
          <w:p>
            <w:pPr>
              <w:spacing w:after="0"/>
              <w:rPr>
                <w:sz w:val="1"/>
                <w:szCs w:val="1"/>
                <w:color w:val="auto"/>
              </w:rPr>
            </w:pPr>
          </w:p>
        </w:tc>
      </w:tr>
      <w:tr>
        <w:trPr>
          <w:trHeight w:val="202"/>
        </w:trPr>
        <w:tc>
          <w:tcPr>
            <w:tcW w:w="4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common stock—diluted</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ind w:left="320" w:hanging="315"/>
        <w:spacing w:after="0"/>
        <w:tabs>
          <w:tab w:leader="none" w:pos="320" w:val="left"/>
        </w:tabs>
        <w:numPr>
          <w:ilvl w:val="0"/>
          <w:numId w:val="15"/>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Noncontrolling Interests</w:t>
      </w:r>
    </w:p>
    <w:p>
      <w:pPr>
        <w:spacing w:after="0" w:line="113" w:lineRule="exact"/>
        <w:rPr>
          <w:sz w:val="20"/>
          <w:szCs w:val="20"/>
          <w:color w:val="auto"/>
        </w:rPr>
      </w:pPr>
    </w:p>
    <w:p>
      <w:pPr>
        <w:ind w:right="60" w:firstLine="473"/>
        <w:spacing w:after="0" w:line="252" w:lineRule="auto"/>
        <w:rPr>
          <w:sz w:val="20"/>
          <w:szCs w:val="20"/>
          <w:color w:val="auto"/>
        </w:rPr>
      </w:pPr>
      <w:r>
        <w:rPr>
          <w:rFonts w:ascii="Times New Roman" w:cs="Times New Roman" w:eastAsia="Times New Roman" w:hAnsi="Times New Roman"/>
          <w:sz w:val="18"/>
          <w:szCs w:val="18"/>
          <w:color w:val="231F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 w:cs="Times New Roman" w:eastAsia="Times New Roman" w:hAnsi="Times New Roman"/>
          <w:sz w:val="18"/>
          <w:szCs w:val="18"/>
          <w:color w:val="000000"/>
        </w:rPr>
        <w:t>The limited liability company agreement of Viant Technology LLC, as amended and restated, classifies the interests acquired by the Company as Class A units and the interests held by the continuing</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 xml:space="preserve">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8"/>
          <w:szCs w:val="18"/>
          <w:color w:val="231F20"/>
        </w:rPr>
        <w:t>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46"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98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8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164"/>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60" w:type="dxa"/>
            <w:vAlign w:val="bottom"/>
            <w:tcBorders>
              <w:top w:val="single" w:sz="8" w:color="auto"/>
            </w:tcBorders>
          </w:tcPr>
          <w:p>
            <w:pPr>
              <w:jc w:val="right"/>
              <w:ind w:right="232"/>
              <w:spacing w:after="0" w:line="164"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00" w:type="dxa"/>
            <w:vAlign w:val="bottom"/>
          </w:tcPr>
          <w:p>
            <w:pPr>
              <w:spacing w:after="0"/>
              <w:rPr>
                <w:sz w:val="14"/>
                <w:szCs w:val="14"/>
                <w:color w:val="auto"/>
              </w:rPr>
            </w:pP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60" w:type="dxa"/>
            <w:vAlign w:val="bottom"/>
            <w:tcBorders>
              <w:top w:val="single" w:sz="8" w:color="auto"/>
            </w:tcBorders>
          </w:tcPr>
          <w:p>
            <w:pPr>
              <w:jc w:val="right"/>
              <w:ind w:right="232"/>
              <w:spacing w:after="0" w:line="164"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36"/>
        </w:trPr>
        <w:tc>
          <w:tcPr>
            <w:tcW w:w="442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20" w:type="dxa"/>
            <w:vAlign w:val="bottom"/>
            <w:gridSpan w:val="2"/>
            <w:vMerge w:val="continue"/>
          </w:tcPr>
          <w:p>
            <w:pPr>
              <w:spacing w:after="0"/>
              <w:rPr>
                <w:sz w:val="20"/>
                <w:szCs w:val="20"/>
                <w:color w:val="auto"/>
              </w:rPr>
            </w:pP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7"/>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Viant Technology Inc.</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16,251,978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16,368,452</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46,696,493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6"/>
              </w:rPr>
              <w:t>46,753,841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4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62,948,471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63,122,293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473"/>
        <w:spacing w:after="0" w:line="303" w:lineRule="auto"/>
        <w:rPr>
          <w:sz w:val="20"/>
          <w:szCs w:val="20"/>
          <w:color w:val="auto"/>
        </w:rPr>
      </w:pPr>
      <w:r>
        <w:rPr>
          <w:rFonts w:ascii="Times New Roman" w:cs="Times New Roman" w:eastAsia="Times New Roman" w:hAnsi="Times New Roman"/>
          <w:sz w:val="16"/>
          <w:szCs w:val="16"/>
          <w:color w:val="231F20"/>
        </w:rPr>
        <w:t xml:space="preserve">During the </w:t>
      </w:r>
      <w:r>
        <w:rPr>
          <w:rFonts w:ascii="Times New Roman" w:cs="Times New Roman" w:eastAsia="Times New Roman" w:hAnsi="Times New Roman"/>
          <w:sz w:val="16"/>
          <w:szCs w:val="16"/>
          <w:color w:val="000000"/>
        </w:rPr>
        <w:t>three and six</w:t>
      </w:r>
      <w:r>
        <w:rPr>
          <w:rFonts w:ascii="Times New Roman" w:cs="Times New Roman" w:eastAsia="Times New Roman" w:hAnsi="Times New Roman"/>
          <w:sz w:val="16"/>
          <w:szCs w:val="16"/>
          <w:color w:val="231F20"/>
        </w:rPr>
        <w:t xml:space="preserve"> months ended June 30, 2025, </w:t>
      </w:r>
      <w:r>
        <w:rPr>
          <w:rFonts w:ascii="Times New Roman" w:cs="Times New Roman" w:eastAsia="Times New Roman" w:hAnsi="Times New Roman"/>
          <w:sz w:val="16"/>
          <w:szCs w:val="16"/>
          <w:color w:val="000000"/>
        </w:rPr>
        <w:t>noncontrolling interests exchanged 23,719 and 57,348 Class B units of Viant Technology LLC,</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respectively, for 23,719 and 57,348 shares of the Company’s Class A common stock, respectively, which also resulted in the cancellation of 23,719 and 57,348 shares of the Company's Class B common stock, respectively, that were previously held by noncontrolling interests with no additional consideration provided.</w:t>
      </w:r>
    </w:p>
    <w:p>
      <w:pPr>
        <w:spacing w:after="0" w:line="39" w:lineRule="exact"/>
        <w:rPr>
          <w:sz w:val="20"/>
          <w:szCs w:val="20"/>
          <w:color w:val="auto"/>
        </w:rPr>
      </w:pPr>
    </w:p>
    <w:p>
      <w:pPr>
        <w:ind w:right="420" w:firstLine="473"/>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w:t>
      </w:r>
    </w:p>
    <w:p>
      <w:pPr>
        <w:spacing w:after="0" w:line="7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8"/>
                <w:szCs w:val="18"/>
                <w:color w:val="auto"/>
                <w:w w:val="97"/>
              </w:rPr>
              <w:t>Decrease in the additional-paid-in-capital of Viant Technology</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Inc. resulting from ownership changes in Viant Technology</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LLC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151"/>
        </w:trPr>
        <w:tc>
          <w:tcPr>
            <w:tcW w:w="4600" w:type="dxa"/>
            <w:vAlign w:val="bottom"/>
          </w:tcPr>
          <w:p>
            <w:pPr>
              <w:spacing w:after="0" w:line="151" w:lineRule="exact"/>
              <w:rPr>
                <w:sz w:val="20"/>
                <w:szCs w:val="20"/>
                <w:color w:val="auto"/>
              </w:rPr>
            </w:pPr>
            <w:r>
              <w:rPr>
                <w:rFonts w:ascii="Times New Roman" w:cs="Times New Roman" w:eastAsia="Times New Roman" w:hAnsi="Times New Roman"/>
                <w:sz w:val="16"/>
                <w:szCs w:val="16"/>
                <w:color w:val="auto"/>
              </w:rPr>
              <w:t>Change from net income (loss) attributable to Viant Technology</w:t>
            </w: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3"/>
                <w:szCs w:val="13"/>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80" w:type="dxa"/>
            <w:vAlign w:val="bottom"/>
          </w:tcPr>
          <w:p>
            <w:pPr>
              <w:spacing w:after="0"/>
              <w:rPr>
                <w:sz w:val="13"/>
                <w:szCs w:val="13"/>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0" w:type="dxa"/>
            <w:vAlign w:val="bottom"/>
          </w:tcPr>
          <w:p>
            <w:pPr>
              <w:spacing w:after="0"/>
              <w:rPr>
                <w:sz w:val="1"/>
                <w:szCs w:val="1"/>
                <w:color w:val="auto"/>
              </w:rPr>
            </w:pPr>
          </w:p>
        </w:tc>
      </w:tr>
      <w:tr>
        <w:trPr>
          <w:trHeight w:val="215"/>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 and transfers to noncontrolling interests</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12"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As of June 30, 2025, we had non-cancelable operating lease commitments for office space that have been recorded as operating lease liabilities. Refer to Note 5—Leases for additional information regarding lease commitments.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12" w:lineRule="exact"/>
        <w:rPr>
          <w:sz w:val="20"/>
          <w:szCs w:val="20"/>
          <w:color w:val="auto"/>
        </w:rPr>
      </w:pPr>
    </w:p>
    <w:p>
      <w:pPr>
        <w:jc w:val="both"/>
        <w:ind w:right="260" w:firstLine="473"/>
        <w:spacing w:after="0" w:line="256" w:lineRule="auto"/>
        <w:rPr>
          <w:sz w:val="20"/>
          <w:szCs w:val="20"/>
          <w:color w:val="auto"/>
        </w:rPr>
      </w:pPr>
      <w:r>
        <w:rPr>
          <w:rFonts w:ascii="Times New Roman" w:cs="Times New Roman" w:eastAsia="Times New Roman" w:hAnsi="Times New Roman"/>
          <w:sz w:val="18"/>
          <w:szCs w:val="18"/>
          <w:color w:val="auto"/>
        </w:rPr>
        <w:t>As of June 30, 2025, we had non-cancelable contractual agreements primarily related to the hosting of our data storage processing, storage and other computing services. As of June 30, 2025, we estimate these obligations to be approximately $7.8 million for the remainder of 2025, $15.2 million in 2026, $10.6 million in 2027, and $2.1 million in 2028.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2" w:lineRule="exact"/>
        <w:rPr>
          <w:sz w:val="20"/>
          <w:szCs w:val="20"/>
          <w:color w:val="auto"/>
        </w:rPr>
      </w:pPr>
    </w:p>
    <w:p>
      <w:pPr>
        <w:ind w:right="60" w:firstLine="473"/>
        <w:spacing w:after="0" w:line="256"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0" w:name="page21"/>
    <w:bookmarkEnd w:id="2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12"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June 30, 2025.</w:t>
      </w:r>
    </w:p>
    <w:p>
      <w:pPr>
        <w:spacing w:after="0" w:line="200" w:lineRule="exact"/>
        <w:rPr>
          <w:sz w:val="20"/>
          <w:szCs w:val="20"/>
          <w:color w:val="auto"/>
        </w:rPr>
      </w:pPr>
    </w:p>
    <w:p>
      <w:pPr>
        <w:spacing w:after="0" w:line="20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21" w:name="page22"/>
    <w:bookmarkEnd w:id="2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231F20"/>
        </w:rPr>
        <w:t>The following Management’s Discussion and Analysis of Financial Condition and Results of Operations of Viant Technology Inc. and its subsidiaries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(“Viant,” “we,” “us,” “our” or the “Company”) should be read in conjunction with, and is qualified in its entirety by reference to, our unaudited condensed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consolidated financial statements and the related notes thereto and other financial information appearing elsewhere in this Quar</w:t>
      </w:r>
      <w:r>
        <w:rPr>
          <w:rFonts w:ascii="Times New Roman" w:cs="Times New Roman" w:eastAsia="Times New Roman" w:hAnsi="Times New Roman"/>
          <w:sz w:val="16"/>
          <w:szCs w:val="16"/>
          <w:i w:val="1"/>
          <w:iCs w:val="1"/>
          <w:color w:val="000000"/>
        </w:rPr>
        <w:t>terly Report on Form 10-Q</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i w:val="1"/>
          <w:iCs w:val="1"/>
          <w:color w:val="231F20"/>
        </w:rPr>
        <w:t>“</w:t>
      </w:r>
      <w:r>
        <w:rPr>
          <w:rFonts w:ascii="Times New Roman" w:cs="Times New Roman" w:eastAsia="Times New Roman" w:hAnsi="Times New Roman"/>
          <w:sz w:val="16"/>
          <w:szCs w:val="16"/>
          <w:i w:val="1"/>
          <w:iCs w:val="1"/>
          <w:color w:val="auto"/>
        </w:rPr>
        <w:t>Quarterly Report</w:t>
      </w:r>
      <w:r>
        <w:rPr>
          <w:rFonts w:ascii="Times New Roman" w:cs="Times New Roman" w:eastAsia="Times New Roman" w:hAnsi="Times New Roman"/>
          <w:sz w:val="16"/>
          <w:szCs w:val="16"/>
          <w:i w:val="1"/>
          <w:iCs w:val="1"/>
          <w:color w:val="231F20"/>
        </w:rPr>
        <w:t>”</w:t>
      </w:r>
      <w:r>
        <w:rPr>
          <w:rFonts w:ascii="Times New Roman" w:cs="Times New Roman" w:eastAsia="Times New Roman" w:hAnsi="Times New Roman"/>
          <w:sz w:val="16"/>
          <w:szCs w:val="16"/>
          <w:i w:val="1"/>
          <w:iCs w:val="1"/>
          <w:color w:val="auto"/>
        </w:rPr>
        <w:t>) and our audited consolidated financial statements and notes thereto and the related Management’s Discussion and Analysis of Financial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Condition and Results of Operations included in our Annual Report on Form 10-K for the year ended December 31, 2024, which was filed with the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and Exchange Commission (“SEC”) on March 3, 2025. In addition to historical financial information, the following discussion and analysis contains forward-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looking statements that involve risks and uncertainties which could cause our actual results to differ materially from those anticipated in these forward-looking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statements, including, but not limited to, the risks and uncertainties discussed under the heading </w:t>
      </w:r>
      <w:r>
        <w:rPr>
          <w:rFonts w:ascii="Times New Roman" w:cs="Times New Roman" w:eastAsia="Times New Roman" w:hAnsi="Times New Roman"/>
          <w:sz w:val="16"/>
          <w:szCs w:val="16"/>
          <w:color w:val="auto"/>
        </w:rPr>
        <w:t>“Special Note Regarding Forward-Looking Statements”</w:t>
      </w:r>
      <w:r>
        <w:rPr>
          <w:rFonts w:ascii="Times New Roman" w:cs="Times New Roman" w:eastAsia="Times New Roman" w:hAnsi="Times New Roman"/>
          <w:sz w:val="16"/>
          <w:szCs w:val="16"/>
          <w:i w:val="1"/>
          <w:iCs w:val="1"/>
          <w:color w:val="auto"/>
        </w:rPr>
        <w:t xml:space="preserv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“Risk Factors” </w:t>
      </w:r>
      <w:r>
        <w:rPr>
          <w:rFonts w:ascii="Times New Roman" w:cs="Times New Roman" w:eastAsia="Times New Roman" w:hAnsi="Times New Roman"/>
          <w:sz w:val="16"/>
          <w:szCs w:val="16"/>
          <w:i w:val="1"/>
          <w:iCs w:val="1"/>
          <w:color w:val="auto"/>
        </w:rPr>
        <w:t>and discussed elsewhere in this Quarterly Report. Additionally, our historical results are not necessarily indicative of the results that may be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for any period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1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231F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74" w:lineRule="exact"/>
        <w:rPr>
          <w:sz w:val="20"/>
          <w:szCs w:val="20"/>
          <w:color w:val="auto"/>
        </w:rPr>
      </w:pPr>
    </w:p>
    <w:p>
      <w:pPr>
        <w:ind w:right="100" w:firstLine="473"/>
        <w:spacing w:after="0" w:line="256" w:lineRule="auto"/>
        <w:rPr>
          <w:sz w:val="20"/>
          <w:szCs w:val="20"/>
          <w:color w:val="auto"/>
        </w:rPr>
      </w:pPr>
      <w:r>
        <w:rPr>
          <w:rFonts w:ascii="Times New Roman" w:cs="Times New Roman" w:eastAsia="Times New Roman" w:hAnsi="Times New Roman"/>
          <w:sz w:val="18"/>
          <w:szCs w:val="18"/>
          <w:color w:val="231F20"/>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spacing w:after="0" w:line="74" w:lineRule="exact"/>
        <w:rPr>
          <w:sz w:val="20"/>
          <w:szCs w:val="20"/>
          <w:color w:val="auto"/>
        </w:rPr>
      </w:pPr>
    </w:p>
    <w:p>
      <w:pPr>
        <w:ind w:right="20" w:firstLine="473"/>
        <w:spacing w:after="0" w:line="285" w:lineRule="auto"/>
        <w:rPr>
          <w:sz w:val="20"/>
          <w:szCs w:val="20"/>
          <w:color w:val="auto"/>
        </w:rPr>
      </w:pPr>
      <w:r>
        <w:rPr>
          <w:rFonts w:ascii="Times New Roman" w:cs="Times New Roman" w:eastAsia="Times New Roman" w:hAnsi="Times New Roman"/>
          <w:sz w:val="16"/>
          <w:szCs w:val="16"/>
          <w:color w:val="auto"/>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addressability solutions, Household ID ("HHID") and IRIS_ID,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w:t>
      </w:r>
    </w:p>
    <w:p>
      <w:pPr>
        <w:spacing w:after="0" w:line="56" w:lineRule="exact"/>
        <w:rPr>
          <w:sz w:val="20"/>
          <w:szCs w:val="20"/>
          <w:color w:val="auto"/>
        </w:rPr>
      </w:pPr>
    </w:p>
    <w:p>
      <w:pPr>
        <w:ind w:right="340" w:firstLine="473"/>
        <w:spacing w:after="0" w:line="268"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right="100" w:firstLine="473"/>
        <w:spacing w:after="0" w:line="283" w:lineRule="auto"/>
        <w:rPr>
          <w:sz w:val="20"/>
          <w:szCs w:val="20"/>
          <w:color w:val="auto"/>
        </w:rPr>
      </w:pPr>
      <w:r>
        <w:rPr>
          <w:rFonts w:ascii="Times New Roman" w:cs="Times New Roman" w:eastAsia="Times New Roman" w:hAnsi="Times New Roman"/>
          <w:sz w:val="16"/>
          <w:szCs w:val="16"/>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 w:cs="Times New Roman" w:eastAsia="Times New Roman" w:hAnsi="Times New Roman"/>
          <w:sz w:val="16"/>
          <w:szCs w:val="16"/>
          <w:color w:val="000000"/>
        </w:rPr>
        <w:t>percentage of spend. Customers who prefer to use our fixed CPM pricing option enter into</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insertion order (“IO”) arrangements with us, </w:t>
      </w:r>
      <w:r>
        <w:rPr>
          <w:rFonts w:ascii="Times New Roman" w:cs="Times New Roman" w:eastAsia="Times New Roman" w:hAnsi="Times New Roman"/>
          <w:sz w:val="16"/>
          <w:szCs w:val="16"/>
          <w:color w:val="231F20"/>
        </w:rPr>
        <w:t>and we generate revenue by charging these customers a platform fee at a price for every 1,000 impressions an ad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w:t>
      </w:r>
    </w:p>
    <w:p>
      <w:pPr>
        <w:spacing w:after="0" w:line="59" w:lineRule="exact"/>
        <w:rPr>
          <w:sz w:val="20"/>
          <w:szCs w:val="20"/>
          <w:color w:val="auto"/>
        </w:rPr>
      </w:pPr>
    </w:p>
    <w:p>
      <w:pPr>
        <w:ind w:right="220" w:firstLine="473"/>
        <w:spacing w:after="0" w:line="268"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63"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color w:val="231F20"/>
        </w:rPr>
        <w:t>Additionally, we believe our artificial intelligence product suite, ViantAI, will be the foundational component of our long-term vision for autonomous advertising to create the most efficient and cost-effective experience for our customers. We expect that ViantAI will handle every stage of programmatic advertising, from building campaigns to optimizing execution, allowing advertisers and their agencies to rely on ViantAI to manage their campaigns while they focus on broader strategic goals.</w:t>
      </w:r>
    </w:p>
    <w:p>
      <w:pPr>
        <w:spacing w:after="0" w:line="77" w:lineRule="exact"/>
        <w:rPr>
          <w:sz w:val="20"/>
          <w:szCs w:val="20"/>
          <w:color w:val="auto"/>
        </w:rPr>
      </w:pPr>
    </w:p>
    <w:p>
      <w:pPr>
        <w:ind w:right="80" w:firstLine="473"/>
        <w:spacing w:after="0" w:line="249" w:lineRule="auto"/>
        <w:rPr>
          <w:sz w:val="20"/>
          <w:szCs w:val="20"/>
          <w:color w:val="auto"/>
        </w:rPr>
      </w:pPr>
      <w:r>
        <w:rPr>
          <w:rFonts w:ascii="Times New Roman" w:cs="Times New Roman" w:eastAsia="Times New Roman" w:hAnsi="Times New Roman"/>
          <w:sz w:val="18"/>
          <w:szCs w:val="18"/>
          <w:color w:val="231F20"/>
        </w:rPr>
        <w:t>Our ViantAI suite currently includes AI Planning, which enables media planners to design high-impact campaigns in seconds, AI Bidding, which optimizes inventory costs by lowering the effective cost per mille ("eCPM") through automated bid adjustments, and AI Measurement and Analysis, our recently released offering which provides accessible measurement and insights via a user-friendly chat interface. Looking ahead, our ViantAI product roadmap features AI Decisioning, which is intended to empower an AI agent to dynamically optimize campaigns in real-time by leveraging advanced ad strategies such as channel allocation, publisher selection, dayparting, and audience discovery.</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231F20"/>
        </w:rPr>
        <w:t xml:space="preserve">Our financial results for the three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and 2024, respectively, include:</w:t>
      </w:r>
    </w:p>
    <w:p>
      <w:pPr>
        <w:spacing w:after="0" w:line="108" w:lineRule="exact"/>
        <w:rPr>
          <w:sz w:val="20"/>
          <w:szCs w:val="20"/>
          <w:color w:val="auto"/>
        </w:rPr>
      </w:pPr>
    </w:p>
    <w:p>
      <w:pPr>
        <w:ind w:left="940" w:hanging="6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Revenue of $77.9 million and $65.9 million, representing an increase of 18%;</w:t>
      </w:r>
    </w:p>
    <w:p>
      <w:pPr>
        <w:spacing w:after="0" w:line="108"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Gross profit of $35.9 million and $30.7 million, representing an increase of 17%;</w:t>
      </w:r>
    </w:p>
    <w:p>
      <w:pPr>
        <w:spacing w:after="0" w:line="105"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$48.4 million and $41.6 million, representing an increase of 16%;</w:t>
      </w:r>
    </w:p>
    <w:p>
      <w:pPr>
        <w:spacing w:after="0" w:line="65"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Net income of $1.8 million and $1.5 million, representing an increase of 20%;</w:t>
      </w:r>
    </w:p>
    <w:p>
      <w:pPr>
        <w:spacing w:after="0" w:line="105"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$8.0 million and $7.2 million, representing an increase of 11%; and</w:t>
      </w:r>
    </w:p>
    <w:p>
      <w:pPr>
        <w:spacing w:after="0" w:line="62"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$11.3 million and $9.6 million, representing an increase of 18%.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Our financial results for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and 2024, respectively, include:</w:t>
      </w:r>
    </w:p>
    <w:p>
      <w:pPr>
        <w:spacing w:after="0" w:line="108" w:lineRule="exact"/>
        <w:rPr>
          <w:sz w:val="20"/>
          <w:szCs w:val="20"/>
          <w:color w:val="auto"/>
        </w:rPr>
      </w:pPr>
    </w:p>
    <w:p>
      <w:pPr>
        <w:ind w:left="940" w:hanging="62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Revenue of </w:t>
      </w:r>
      <w:r>
        <w:rPr>
          <w:rFonts w:ascii="Times New Roman" w:cs="Times New Roman" w:eastAsia="Times New Roman" w:hAnsi="Times New Roman"/>
          <w:sz w:val="18"/>
          <w:szCs w:val="18"/>
          <w:color w:val="000000"/>
        </w:rPr>
        <w:t>$148.5</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$119.3</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31F20"/>
        </w:rPr>
        <w:t>;</w:t>
      </w:r>
    </w:p>
    <w:p>
      <w:pPr>
        <w:spacing w:after="0" w:line="108"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Gross profit of </w:t>
      </w:r>
      <w:r>
        <w:rPr>
          <w:rFonts w:ascii="Times New Roman" w:cs="Times New Roman" w:eastAsia="Times New Roman" w:hAnsi="Times New Roman"/>
          <w:sz w:val="18"/>
          <w:szCs w:val="18"/>
          <w:color w:val="000000"/>
        </w:rPr>
        <w:t>$66.4</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$54.3</w:t>
      </w:r>
      <w:r>
        <w:rPr>
          <w:rFonts w:ascii="Times New Roman" w:cs="Times New Roman" w:eastAsia="Times New Roman" w:hAnsi="Times New Roman"/>
          <w:sz w:val="18"/>
          <w:szCs w:val="18"/>
          <w:color w:val="231F20"/>
        </w:rPr>
        <w:t xml:space="preserve"> million, representing an increase of </w:t>
      </w:r>
      <w:r>
        <w:rPr>
          <w:rFonts w:ascii="Times New Roman" w:cs="Times New Roman" w:eastAsia="Times New Roman" w:hAnsi="Times New Roman"/>
          <w:sz w:val="18"/>
          <w:szCs w:val="18"/>
          <w:color w:val="000000"/>
        </w:rPr>
        <w:t>22%</w:t>
      </w:r>
      <w:r>
        <w:rPr>
          <w:rFonts w:ascii="Times New Roman" w:cs="Times New Roman" w:eastAsia="Times New Roman" w:hAnsi="Times New Roman"/>
          <w:sz w:val="18"/>
          <w:szCs w:val="18"/>
          <w:color w:val="231F20"/>
        </w:rPr>
        <w:t>;</w:t>
      </w:r>
    </w:p>
    <w:p>
      <w:pPr>
        <w:spacing w:after="0" w:line="105"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$91.1</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$75.7</w:t>
      </w:r>
      <w:r>
        <w:rPr>
          <w:rFonts w:ascii="Times New Roman" w:cs="Times New Roman" w:eastAsia="Times New Roman" w:hAnsi="Times New Roman"/>
          <w:sz w:val="18"/>
          <w:szCs w:val="18"/>
          <w:color w:val="231F20"/>
        </w:rPr>
        <w:t xml:space="preserve"> million, representing an increase of </w:t>
      </w:r>
      <w:r>
        <w:rPr>
          <w:rFonts w:ascii="Times New Roman" w:cs="Times New Roman" w:eastAsia="Times New Roman" w:hAnsi="Times New Roman"/>
          <w:sz w:val="18"/>
          <w:szCs w:val="18"/>
          <w:color w:val="000000"/>
        </w:rPr>
        <w:t>20%</w:t>
      </w:r>
      <w:r>
        <w:rPr>
          <w:rFonts w:ascii="Times New Roman" w:cs="Times New Roman" w:eastAsia="Times New Roman" w:hAnsi="Times New Roman"/>
          <w:sz w:val="18"/>
          <w:szCs w:val="18"/>
          <w:color w:val="231F20"/>
        </w:rPr>
        <w:t>;</w:t>
      </w:r>
    </w:p>
    <w:p>
      <w:pPr>
        <w:spacing w:after="0" w:line="65"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Net loss of </w:t>
      </w:r>
      <w:r>
        <w:rPr>
          <w:rFonts w:ascii="Times New Roman" w:cs="Times New Roman" w:eastAsia="Times New Roman" w:hAnsi="Times New Roman"/>
          <w:sz w:val="18"/>
          <w:szCs w:val="18"/>
          <w:color w:val="000000"/>
        </w:rPr>
        <w:t>$1.5</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improvement</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w:t>
      </w:r>
    </w:p>
    <w:p>
      <w:pPr>
        <w:spacing w:after="0" w:line="105"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$10.8</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$8.6</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26%</w:t>
      </w:r>
      <w:r>
        <w:rPr>
          <w:rFonts w:ascii="Times New Roman" w:cs="Times New Roman" w:eastAsia="Times New Roman" w:hAnsi="Times New Roman"/>
          <w:sz w:val="18"/>
          <w:szCs w:val="18"/>
          <w:color w:val="231F20"/>
        </w:rPr>
        <w:t>; and</w:t>
      </w:r>
    </w:p>
    <w:p>
      <w:pPr>
        <w:spacing w:after="0" w:line="62" w:lineRule="exact"/>
        <w:rPr>
          <w:rFonts w:ascii="Times New Roman" w:cs="Times New Roman" w:eastAsia="Times New Roman" w:hAnsi="Times New Roman"/>
          <w:sz w:val="18"/>
          <w:szCs w:val="18"/>
          <w:color w:val="auto"/>
        </w:rPr>
      </w:pPr>
    </w:p>
    <w:p>
      <w:pPr>
        <w:ind w:left="940" w:hanging="62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$16.7</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$12.7</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32%</w:t>
      </w:r>
      <w:r>
        <w:rPr>
          <w:rFonts w:ascii="Times New Roman" w:cs="Times New Roman" w:eastAsia="Times New Roman" w:hAnsi="Times New Roman"/>
          <w:sz w:val="18"/>
          <w:szCs w:val="18"/>
          <w:color w:val="231F20"/>
        </w:rPr>
        <w:t>.</w:t>
      </w:r>
    </w:p>
    <w:p>
      <w:pPr>
        <w:spacing w:after="0" w:line="171" w:lineRule="exact"/>
        <w:rPr>
          <w:sz w:val="20"/>
          <w:szCs w:val="20"/>
          <w:color w:val="auto"/>
        </w:rPr>
      </w:pPr>
    </w:p>
    <w:p>
      <w:pPr>
        <w:ind w:left="640" w:hanging="324"/>
        <w:spacing w:after="0" w:line="252" w:lineRule="auto"/>
        <w:tabs>
          <w:tab w:leader="none" w:pos="634"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Times New Roman" w:cs="Times New Roman" w:eastAsia="Times New Roman" w:hAnsi="Times New Roman"/>
          <w:sz w:val="18"/>
          <w:szCs w:val="18"/>
          <w:color w:val="000000"/>
        </w:rPr>
        <w:t>accounting principles in the United States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America </w:t>
      </w:r>
      <w:r>
        <w:rPr>
          <w:rFonts w:ascii="Times New Roman" w:cs="Times New Roman" w:eastAsia="Times New Roman" w:hAnsi="Times New Roman"/>
          <w:sz w:val="18"/>
          <w:szCs w:val="18"/>
          <w:color w:val="231F20"/>
        </w:rPr>
        <w:t>(“GAAP”), see “</w:t>
      </w:r>
      <w:r>
        <w:rPr>
          <w:rFonts w:ascii="Times New Roman" w:cs="Times New Roman" w:eastAsia="Times New Roman" w:hAnsi="Times New Roman"/>
          <w:sz w:val="18"/>
          <w:szCs w:val="18"/>
          <w:i w:val="1"/>
          <w:iCs w:val="1"/>
          <w:color w:val="231F20"/>
        </w:rPr>
        <w:t>—Key Operating and Financial Performance Measures—Use of Non-GAAP Financial Measures.</w:t>
      </w:r>
      <w:r>
        <w:rPr>
          <w:rFonts w:ascii="Times New Roman" w:cs="Times New Roman" w:eastAsia="Times New Roman" w:hAnsi="Times New Roman"/>
          <w:sz w:val="18"/>
          <w:szCs w:val="18"/>
          <w:color w:val="231F20"/>
        </w:rPr>
        <w:t>”</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19" w:right="339" w:bottom="1440" w:gutter="0" w:footer="0" w:header="0"/>
        </w:sectPr>
      </w:pPr>
    </w:p>
    <w:bookmarkStart w:id="23" w:name="page24"/>
    <w:bookmarkEnd w:id="2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12"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231F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w:t>
      </w:r>
      <w:r>
        <w:rPr>
          <w:rFonts w:ascii="Times New Roman" w:cs="Times New Roman" w:eastAsia="Times New Roman" w:hAnsi="Times New Roman"/>
          <w:sz w:val="18"/>
          <w:szCs w:val="18"/>
          <w:color w:val="000000"/>
        </w:rPr>
        <w:t>s most channels, we believe we are well positioned to capture more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expect ViantAI to accelerate market share gains and expand our total addressable market. Furthe</w:t>
      </w:r>
      <w:r>
        <w:rPr>
          <w:rFonts w:ascii="Times New Roman" w:cs="Times New Roman" w:eastAsia="Times New Roman" w:hAnsi="Times New Roman"/>
          <w:sz w:val="18"/>
          <w:szCs w:val="18"/>
          <w:color w:val="231F20"/>
        </w:rPr>
        <w:t>r, we intend to continue to grow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sales and marketing efforts to increase awareness of our DSP and highlight the advantages of our addressability solutions, HHID and IRIS_ID, and strategic partner data as a superior option to cookie-based targeting.</w:t>
      </w:r>
    </w:p>
    <w:p>
      <w:pPr>
        <w:spacing w:after="0" w:line="83"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auto"/>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For the six months ended June 30, 2025 compared to the six months ended June 30, 2024, our revenue grew 25%. We believe growing customer adoption of our newer products and platform features continued to drive incremental revenue, gross profit and contribution ex-TAC during the six months ended June 30, 2025. For a detailed discussion of our key operating measures,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12"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12"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231F20"/>
        </w:rPr>
        <w:t>Macroeconomic conditions and geopolitical events, such as pandemics, inflation, high interest rates, tariffs and international trade conflict, tightening of credit markets, recession risks, labor shortages, supply chain disruptions, political cycles, changes in laws and interpretations of laws, changes in the volume and relative mix of U.S. government spending, cost-cutting and efficiency initiatives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w:t>
      </w:r>
    </w:p>
    <w:p>
      <w:pPr>
        <w:spacing w:after="0" w:line="112"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12" w:lineRule="exact"/>
        <w:rPr>
          <w:sz w:val="20"/>
          <w:szCs w:val="20"/>
          <w:color w:val="auto"/>
        </w:rPr>
      </w:pPr>
    </w:p>
    <w:p>
      <w:pPr>
        <w:ind w:right="120" w:firstLine="473"/>
        <w:spacing w:after="0" w:line="247"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4" w:name="page25"/>
    <w:bookmarkEnd w:id="2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0"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231F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and six months ended June 30, 2025 and 2024:</w:t>
      </w:r>
    </w:p>
    <w:p>
      <w:pPr>
        <w:spacing w:after="0" w:line="8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4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148,495</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119,259</w:t>
            </w:r>
          </w:p>
        </w:tc>
      </w:tr>
      <w:tr>
        <w:trPr>
          <w:trHeight w:val="223"/>
        </w:trPr>
        <w:tc>
          <w:tcPr>
            <w:tcW w:w="46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65,002</w:t>
            </w: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w:t>
            </w: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w:t>
            </w:r>
          </w:p>
        </w:tc>
      </w:tr>
      <w:tr>
        <w:trPr>
          <w:trHeight w:val="217"/>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153,342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125,722</w:t>
            </w:r>
          </w:p>
        </w:tc>
      </w:tr>
      <w:tr>
        <w:trPr>
          <w:trHeight w:val="21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w:t>
            </w:r>
          </w:p>
        </w:tc>
      </w:tr>
      <w:tr>
        <w:trPr>
          <w:trHeight w:val="21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42"/>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30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9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r>
      <w:tr>
        <w:trPr>
          <w:trHeight w:val="233"/>
        </w:trPr>
        <w:tc>
          <w:tcPr>
            <w:tcW w:w="4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20" w:type="dxa"/>
            <w:vAlign w:val="bottom"/>
            <w:tcBorders>
              <w:bottom w:val="single" w:sz="8" w:color="auto"/>
            </w:tcBorders>
          </w:tcPr>
          <w:p>
            <w:pPr>
              <w:spacing w:after="0"/>
              <w:rPr>
                <w:sz w:val="20"/>
                <w:szCs w:val="20"/>
                <w:color w:val="auto"/>
              </w:rPr>
            </w:pPr>
          </w:p>
        </w:tc>
      </w:tr>
      <w:tr>
        <w:trPr>
          <w:trHeight w:val="220"/>
        </w:trPr>
        <w:tc>
          <w:tcPr>
            <w:tcW w:w="4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6"/>
        </w:trPr>
        <w:tc>
          <w:tcPr>
            <w:tcW w:w="4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20" w:type="dxa"/>
            <w:vAlign w:val="bottom"/>
          </w:tcPr>
          <w:p>
            <w:pPr>
              <w:spacing w:after="0"/>
              <w:rPr>
                <w:sz w:val="22"/>
                <w:szCs w:val="22"/>
                <w:color w:val="auto"/>
              </w:rPr>
            </w:pPr>
          </w:p>
        </w:tc>
      </w:tr>
      <w:tr>
        <w:trPr>
          <w:trHeight w:val="22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5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Platform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3"/>
        </w:trPr>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7"/>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1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7"/>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1"/>
        </w:trPr>
        <w:tc>
          <w:tcPr>
            <w:tcW w:w="52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8"/>
          <w:szCs w:val="18"/>
          <w:color w:val="231F20"/>
        </w:rPr>
        <w:t>*</w:t>
        <w:tab/>
        <w:t>Percentages may not sum due to rounding.</w:t>
      </w:r>
    </w:p>
    <w:p>
      <w:pPr>
        <w:spacing w:after="0" w:line="200" w:lineRule="exact"/>
        <w:rPr>
          <w:sz w:val="20"/>
          <w:szCs w:val="20"/>
          <w:color w:val="auto"/>
        </w:rPr>
      </w:pP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119" w:right="539" w:bottom="1440" w:gutter="0" w:footer="0" w:header="0"/>
        </w:sectPr>
      </w:pPr>
    </w:p>
    <w:bookmarkStart w:id="25" w:name="page26"/>
    <w:bookmarkEnd w:id="2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left="940" w:hanging="304"/>
        <w:spacing w:after="0"/>
        <w:tabs>
          <w:tab w:leader="none" w:pos="9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Stock-based compensation, depreciation and amortization included in operating expenses were as follows:</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6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4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1,819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1,037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2,489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1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6,343</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0"/>
        </w:trPr>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6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4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3,541</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3,531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w:t>
            </w: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4,380</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r>
      <w:tr>
        <w:trPr>
          <w:trHeight w:val="20"/>
        </w:trPr>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4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c>
          <w:tcPr>
            <w:tcW w:w="4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June 30, 2025 and 2024</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5"/>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5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65,866</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18 %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231F20"/>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$12.0 million, or 18%, during the three months ended June 30, 2025 compared to the three months ended June 30, 2024.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was primarily due to a 28% increase in revenue from marketers in the business services, consumer goods, retail and healthcare industry verticals and a net 5% increase in all other industry verticals.</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6" w:name="page27"/>
    <w:bookmarkEnd w:id="2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29,481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12,489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2"/>
        </w:trPr>
        <w:tc>
          <w:tcPr>
            <w:tcW w:w="7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41,970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 xml:space="preserve">Platform operations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$6.8 million, or 19%, during the three months ended June 30, 2025 compared to the three months ended</w:t>
      </w:r>
    </w:p>
    <w:p>
      <w:pPr>
        <w:spacing w:after="0" w:line="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231F20"/>
        </w:rPr>
        <w:t xml:space="preserve">June 30,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$5.2 million increase in traffic acquisition costs (“TAC”), </w:t>
      </w:r>
      <w:r>
        <w:rPr>
          <w:rFonts w:ascii="Times New Roman" w:cs="Times New Roman" w:eastAsia="Times New Roman" w:hAnsi="Times New Roman"/>
          <w:sz w:val="18"/>
          <w:szCs w:val="18"/>
          <w:color w:val="000000"/>
        </w:rPr>
        <w:t>a variable function of revenue related to our fixed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CPM pricing option and certain arrangements related to our percentage of spend pricing option. The increase was also due to higher other platform operations expense which was driven by a $0.5 million increase in personnel costs, a $0.4 million increase in cloud and data center services in support of our DSP, a $0.4 million increase in stock-based compensation and a $0.3 million increase in data-related costs in support of our DSP.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40" w:firstLine="473"/>
        <w:spacing w:after="0" w:line="256"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$2.4 million, or 18%, during the three months ended June 30, 2025 compared to the three months ended June 30,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231F20"/>
        </w:rPr>
        <w:t xml:space="preserve"> million increase in personnel costs, a $0.7 million increase in stock-based compensation, a $0.3 million increase in advertising expense and a $0.1 million increase in depreciation expense.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0" w:firstLine="473"/>
        <w:spacing w:after="0" w:line="303" w:lineRule="auto"/>
        <w:rPr>
          <w:sz w:val="20"/>
          <w:szCs w:val="20"/>
          <w:color w:val="auto"/>
        </w:rPr>
      </w:pPr>
      <w:r>
        <w:rPr>
          <w:rFonts w:ascii="Times New Roman" w:cs="Times New Roman" w:eastAsia="Times New Roman" w:hAnsi="Times New Roman"/>
          <w:sz w:val="16"/>
          <w:szCs w:val="16"/>
          <w:color w:val="231F20"/>
        </w:rPr>
        <w:t xml:space="preserve">Technology and development expense </w:t>
      </w:r>
      <w:r>
        <w:rPr>
          <w:rFonts w:ascii="Times New Roman" w:cs="Times New Roman" w:eastAsia="Times New Roman" w:hAnsi="Times New Roman"/>
          <w:sz w:val="16"/>
          <w:szCs w:val="16"/>
          <w:color w:val="000000"/>
        </w:rPr>
        <w:t>increased</w:t>
      </w:r>
      <w:r>
        <w:rPr>
          <w:rFonts w:ascii="Times New Roman" w:cs="Times New Roman" w:eastAsia="Times New Roman" w:hAnsi="Times New Roman"/>
          <w:sz w:val="16"/>
          <w:szCs w:val="16"/>
          <w:color w:val="231F20"/>
        </w:rPr>
        <w:t xml:space="preserve"> by $1.9 million, or 32%, during the three months ended June 30, 2025 compared to the three months ended June 30, 2024. </w:t>
      </w:r>
      <w:r>
        <w:rPr>
          <w:rFonts w:ascii="Times New Roman" w:cs="Times New Roman" w:eastAsia="Times New Roman" w:hAnsi="Times New Roman"/>
          <w:sz w:val="16"/>
          <w:szCs w:val="16"/>
          <w:color w:val="000000"/>
        </w:rPr>
        <w:t>This increase was primarily due to a $0.8 million increase in personnel costs, a $0.4 million increase in stock-based compensation, a $0.3</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million increase in depreciation expense, a $0.3 million increase in technology costs in support of our DSP and a $0.1 million increase in professional services.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0" w:firstLine="473"/>
        <w:spacing w:after="0" w:line="252"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$0.1 million, or 1%, during the three months ended June 30, 2025 compared to the three months ended June 30, 2024. </w:t>
      </w:r>
      <w:r>
        <w:rPr>
          <w:rFonts w:ascii="Times New Roman" w:cs="Times New Roman" w:eastAsia="Times New Roman" w:hAnsi="Times New Roman"/>
          <w:sz w:val="18"/>
          <w:szCs w:val="18"/>
          <w:color w:val="000000"/>
        </w:rPr>
        <w:t>This increase was primarily due to $0.3 million increase in accounting, legal, and consulting expenses associated with general corporate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compliance matters, a $0.3 million increase in personnel costs, a $0.2 million increase in travel and entertainment expense driven by Company events and employee-related expenses and a $0.1 million increase in</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7" w:name="page28"/>
    <w:bookmarkEnd w:id="2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recruiting fees, partially offset by a $0.7 million decrease in stock-based compensation and a $0.1 million decrease in depreciation expense.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231F20"/>
        </w:rPr>
        <w:t xml:space="preserve">Total other income, net </w:t>
      </w:r>
      <w:r>
        <w:rPr>
          <w:rFonts w:ascii="Times New Roman" w:cs="Times New Roman" w:eastAsia="Times New Roman" w:hAnsi="Times New Roman"/>
          <w:sz w:val="16"/>
          <w:szCs w:val="16"/>
          <w:color w:val="000000"/>
        </w:rPr>
        <w:t>decreased</w:t>
      </w:r>
      <w:r>
        <w:rPr>
          <w:rFonts w:ascii="Times New Roman" w:cs="Times New Roman" w:eastAsia="Times New Roman" w:hAnsi="Times New Roman"/>
          <w:sz w:val="16"/>
          <w:szCs w:val="16"/>
          <w:color w:val="231F20"/>
        </w:rPr>
        <w:t xml:space="preserve"> by </w:t>
      </w:r>
      <w:r>
        <w:rPr>
          <w:rFonts w:ascii="Times New Roman" w:cs="Times New Roman" w:eastAsia="Times New Roman" w:hAnsi="Times New Roman"/>
          <w:sz w:val="16"/>
          <w:szCs w:val="16"/>
          <w:color w:val="000000"/>
        </w:rPr>
        <w:t>$0.9</w:t>
      </w:r>
      <w:r>
        <w:rPr>
          <w:rFonts w:ascii="Times New Roman" w:cs="Times New Roman" w:eastAsia="Times New Roman" w:hAnsi="Times New Roman"/>
          <w:sz w:val="16"/>
          <w:szCs w:val="16"/>
          <w:color w:val="231F20"/>
        </w:rPr>
        <w:t xml:space="preserve"> million, or </w:t>
      </w:r>
      <w:r>
        <w:rPr>
          <w:rFonts w:ascii="Times New Roman" w:cs="Times New Roman" w:eastAsia="Times New Roman" w:hAnsi="Times New Roman"/>
          <w:sz w:val="16"/>
          <w:szCs w:val="16"/>
          <w:color w:val="000000"/>
        </w:rPr>
        <w:t>37%,</w:t>
      </w:r>
      <w:r>
        <w:rPr>
          <w:rFonts w:ascii="Times New Roman" w:cs="Times New Roman" w:eastAsia="Times New Roman" w:hAnsi="Times New Roman"/>
          <w:sz w:val="16"/>
          <w:szCs w:val="16"/>
          <w:color w:val="231F20"/>
        </w:rPr>
        <w:t xml:space="preserve"> during the three months ended June 30, 2025 compared to the three months ended June 30,</w:t>
      </w:r>
    </w:p>
    <w:p>
      <w:pPr>
        <w:spacing w:after="0" w:line="44" w:lineRule="exact"/>
        <w:rPr>
          <w:sz w:val="20"/>
          <w:szCs w:val="20"/>
          <w:color w:val="auto"/>
        </w:rPr>
      </w:pPr>
    </w:p>
    <w:p>
      <w:pPr>
        <w:ind w:right="640"/>
        <w:spacing w:after="0" w:line="247" w:lineRule="auto"/>
        <w:rPr>
          <w:sz w:val="20"/>
          <w:szCs w:val="20"/>
          <w:color w:val="auto"/>
        </w:rPr>
      </w:pPr>
      <w:r>
        <w:rPr>
          <w:rFonts w:ascii="Times New Roman" w:cs="Times New Roman" w:eastAsia="Times New Roman" w:hAnsi="Times New Roman"/>
          <w:sz w:val="18"/>
          <w:szCs w:val="18"/>
          <w:color w:val="231F20"/>
        </w:rPr>
        <w:t xml:space="preserve">2024. </w:t>
      </w:r>
      <w:r>
        <w:rPr>
          <w:rFonts w:ascii="Times New Roman" w:cs="Times New Roman" w:eastAsia="Times New Roman" w:hAnsi="Times New Roman"/>
          <w:sz w:val="18"/>
          <w:szCs w:val="18"/>
          <w:color w:val="000000"/>
        </w:rPr>
        <w:t>This decrease was due to a decrease in interest income on cash and cash equivalents driven by lower interest rates and lower money market fund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balances.</w:t>
      </w:r>
    </w:p>
    <w:p>
      <w:pPr>
        <w:spacing w:after="0" w:line="82"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For the three months ended June 30, 2025 and 2024, total interest cost incurred was $0.1 million. Interest costs capitalized during the three months ended June 30, 2025 and 2024 were zero.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473"/>
        <w:spacing w:after="0" w:line="25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three months ended June 30, 2025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The benefit from income taxes was </w:t>
      </w:r>
      <w:r>
        <w:rPr>
          <w:rFonts w:ascii="Times New Roman" w:cs="Times New Roman" w:eastAsia="Times New Roman" w:hAnsi="Times New Roman"/>
          <w:sz w:val="18"/>
          <w:szCs w:val="18"/>
          <w:color w:val="000000"/>
        </w:rPr>
        <w:t>$0.3 million for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three months ended </w:t>
      </w:r>
      <w:r>
        <w:rPr>
          <w:rFonts w:ascii="Times New Roman" w:cs="Times New Roman" w:eastAsia="Times New Roman" w:hAnsi="Times New Roman"/>
          <w:sz w:val="18"/>
          <w:szCs w:val="18"/>
          <w:color w:val="231F20"/>
        </w:rPr>
        <w:t>June 30, 2025, attributable to year-to-date loss and excess tax benefit on vested stock-based compensation,</w:t>
      </w:r>
      <w:r>
        <w:rPr>
          <w:rFonts w:ascii="Times New Roman" w:cs="Times New Roman" w:eastAsia="Times New Roman" w:hAnsi="Times New Roman"/>
          <w:sz w:val="18"/>
          <w:szCs w:val="18"/>
          <w:color w:val="000000"/>
        </w:rPr>
        <w:t xml:space="preserve"> compared to a provision for income taxes of $0.1 million for the three months ended </w:t>
      </w:r>
      <w:r>
        <w:rPr>
          <w:rFonts w:ascii="Times New Roman" w:cs="Times New Roman" w:eastAsia="Times New Roman" w:hAnsi="Times New Roman"/>
          <w:sz w:val="18"/>
          <w:szCs w:val="18"/>
          <w:color w:val="231F20"/>
        </w:rPr>
        <w:t>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Comparison of the </w:t>
      </w:r>
      <w:r>
        <w:rPr>
          <w:rFonts w:ascii="Times New Roman" w:cs="Times New Roman" w:eastAsia="Times New Roman" w:hAnsi="Times New Roman"/>
          <w:sz w:val="18"/>
          <w:szCs w:val="18"/>
          <w:b w:val="1"/>
          <w:bCs w:val="1"/>
          <w:color w:val="000000"/>
        </w:rPr>
        <w:t>Six Months Ended June 30, 2025</w:t>
      </w:r>
      <w:r>
        <w:rPr>
          <w:rFonts w:ascii="Times New Roman" w:cs="Times New Roman" w:eastAsia="Times New Roman" w:hAnsi="Times New Roman"/>
          <w:sz w:val="18"/>
          <w:szCs w:val="18"/>
          <w:b w:val="1"/>
          <w:bCs w:val="1"/>
          <w:color w:val="231F20"/>
        </w:rPr>
        <w:t xml:space="preserve"> and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2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18"/>
                <w:szCs w:val="18"/>
                <w:color w:val="auto"/>
              </w:rPr>
            </w:pPr>
          </w:p>
        </w:tc>
        <w:tc>
          <w:tcPr>
            <w:tcW w:w="1540" w:type="dxa"/>
            <w:vAlign w:val="bottom"/>
            <w:gridSpan w:val="3"/>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vMerge w:val="continue"/>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148,495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231F20"/>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$29.2</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2025 compared to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2024. </w:t>
      </w:r>
      <w:r>
        <w:rPr>
          <w:rFonts w:ascii="Times New Roman" w:cs="Times New Roman" w:eastAsia="Times New Roman" w:hAnsi="Times New Roman"/>
          <w:sz w:val="18"/>
          <w:szCs w:val="18"/>
          <w:color w:val="000000"/>
        </w:rPr>
        <w:t>The increase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was primarily due to a 34% increase in revenue from marketers in the business services, consumer goods, retail and healthcare industry verticals, and a net 12% increase in all other industry verticals.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4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57,393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24,657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21,422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2"/>
        </w:trPr>
        <w:tc>
          <w:tcPr>
            <w:tcW w:w="7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82,050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65,002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0" w:type="dxa"/>
            <w:vAlign w:val="bottom"/>
          </w:tcPr>
          <w:p>
            <w:pPr>
              <w:spacing w:after="0"/>
              <w:rPr>
                <w:sz w:val="17"/>
                <w:szCs w:val="17"/>
                <w:color w:val="auto"/>
              </w:rPr>
            </w:pPr>
          </w:p>
        </w:tc>
        <w:tc>
          <w:tcPr>
            <w:tcW w:w="4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80" w:firstLine="473"/>
        <w:spacing w:after="0" w:line="252" w:lineRule="auto"/>
        <w:rPr>
          <w:sz w:val="20"/>
          <w:szCs w:val="20"/>
          <w:color w:val="auto"/>
        </w:rPr>
      </w:pPr>
      <w:r>
        <w:rPr>
          <w:rFonts w:ascii="Times New Roman" w:cs="Times New Roman" w:eastAsia="Times New Roman" w:hAnsi="Times New Roman"/>
          <w:sz w:val="18"/>
          <w:szCs w:val="18"/>
          <w:color w:val="231F20"/>
        </w:rPr>
        <w:t xml:space="preserve">Platform operations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$17.0</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26%</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2025 compared to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$13.8 million increase in TAC, </w:t>
      </w:r>
      <w:r>
        <w:rPr>
          <w:rFonts w:ascii="Times New Roman" w:cs="Times New Roman" w:eastAsia="Times New Roman" w:hAnsi="Times New Roman"/>
          <w:sz w:val="18"/>
          <w:szCs w:val="18"/>
          <w:color w:val="000000"/>
        </w:rPr>
        <w:t>a variable function of revenue related to our fixed CPM pricing option and certain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arrangements related to our percentage of spend pricing option. The increase was also due to higher other platform operations expense which was driven by a $0.9 million increase in cloud and data center services in</w:t>
      </w:r>
    </w:p>
    <w:p>
      <w:pPr>
        <w:sectPr>
          <w:pgSz w:w="11900" w:h="16838" w:orient="portrait"/>
          <w:cols w:equalWidth="0" w:num="1">
            <w:col w:w="11220"/>
          </w:cols>
          <w:pgMar w:left="320" w:top="119" w:right="359" w:bottom="1440" w:gutter="0" w:footer="0" w:header="0"/>
        </w:sectPr>
      </w:pP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8" w:name="page29"/>
    <w:bookmarkEnd w:id="2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support of our DSP, a $0.9 million increase in personnel costs, a $0.9 million increase in stock-based compensation and a $0.5 million increase in data-related costs in support of our DSP.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$3.7</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14%</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2025 compared to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31F20"/>
        </w:rPr>
        <w:t xml:space="preserve"> million increase in personnel costs, a $</w:t>
      </w:r>
      <w:r>
        <w:rPr>
          <w:rFonts w:ascii="Times New Roman" w:cs="Times New Roman" w:eastAsia="Times New Roman" w:hAnsi="Times New Roman"/>
          <w:sz w:val="18"/>
          <w:szCs w:val="18"/>
          <w:color w:val="000000"/>
        </w:rPr>
        <w:t>1.4</w:t>
      </w:r>
      <w:r>
        <w:rPr>
          <w:rFonts w:ascii="Times New Roman" w:cs="Times New Roman" w:eastAsia="Times New Roman" w:hAnsi="Times New Roman"/>
          <w:sz w:val="18"/>
          <w:szCs w:val="18"/>
          <w:color w:val="231F20"/>
        </w:rPr>
        <w:t xml:space="preserve"> million increase in stock-based compensation, a $0.2 million increase in facilities expense, a $0.2 million increase in depreciation expense and a $0.1 million increase in advertising expense, partially offset by a $</w:t>
      </w:r>
      <w:r>
        <w:rPr>
          <w:rFonts w:ascii="Times New Roman" w:cs="Times New Roman" w:eastAsia="Times New Roman" w:hAnsi="Times New Roman"/>
          <w:sz w:val="18"/>
          <w:szCs w:val="18"/>
          <w:color w:val="000000"/>
        </w:rPr>
        <w:t>0.7</w:t>
      </w:r>
      <w:r>
        <w:rPr>
          <w:rFonts w:ascii="Times New Roman" w:cs="Times New Roman" w:eastAsia="Times New Roman" w:hAnsi="Times New Roman"/>
          <w:sz w:val="18"/>
          <w:szCs w:val="18"/>
          <w:color w:val="231F20"/>
        </w:rPr>
        <w:t xml:space="preserve"> million decrease in travel and entertainment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34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14,602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473"/>
        <w:spacing w:after="0" w:line="303" w:lineRule="auto"/>
        <w:rPr>
          <w:sz w:val="20"/>
          <w:szCs w:val="20"/>
          <w:color w:val="auto"/>
        </w:rPr>
      </w:pPr>
      <w:r>
        <w:rPr>
          <w:rFonts w:ascii="Times New Roman" w:cs="Times New Roman" w:eastAsia="Times New Roman" w:hAnsi="Times New Roman"/>
          <w:sz w:val="16"/>
          <w:szCs w:val="16"/>
          <w:color w:val="231F20"/>
        </w:rPr>
        <w:t xml:space="preserve">Technology and development expense </w:t>
      </w:r>
      <w:r>
        <w:rPr>
          <w:rFonts w:ascii="Times New Roman" w:cs="Times New Roman" w:eastAsia="Times New Roman" w:hAnsi="Times New Roman"/>
          <w:sz w:val="16"/>
          <w:szCs w:val="16"/>
          <w:color w:val="000000"/>
        </w:rPr>
        <w:t>increased</w:t>
      </w:r>
      <w:r>
        <w:rPr>
          <w:rFonts w:ascii="Times New Roman" w:cs="Times New Roman" w:eastAsia="Times New Roman" w:hAnsi="Times New Roman"/>
          <w:sz w:val="16"/>
          <w:szCs w:val="16"/>
          <w:color w:val="231F20"/>
        </w:rPr>
        <w:t xml:space="preserve"> by </w:t>
      </w:r>
      <w:r>
        <w:rPr>
          <w:rFonts w:ascii="Times New Roman" w:cs="Times New Roman" w:eastAsia="Times New Roman" w:hAnsi="Times New Roman"/>
          <w:sz w:val="16"/>
          <w:szCs w:val="16"/>
          <w:color w:val="000000"/>
        </w:rPr>
        <w:t>$3.6</w:t>
      </w:r>
      <w:r>
        <w:rPr>
          <w:rFonts w:ascii="Times New Roman" w:cs="Times New Roman" w:eastAsia="Times New Roman" w:hAnsi="Times New Roman"/>
          <w:sz w:val="16"/>
          <w:szCs w:val="16"/>
          <w:color w:val="231F20"/>
        </w:rPr>
        <w:t xml:space="preserve"> million, or </w:t>
      </w:r>
      <w:r>
        <w:rPr>
          <w:rFonts w:ascii="Times New Roman" w:cs="Times New Roman" w:eastAsia="Times New Roman" w:hAnsi="Times New Roman"/>
          <w:sz w:val="16"/>
          <w:szCs w:val="16"/>
          <w:color w:val="000000"/>
        </w:rPr>
        <w:t>32%</w:t>
      </w:r>
      <w:r>
        <w:rPr>
          <w:rFonts w:ascii="Times New Roman" w:cs="Times New Roman" w:eastAsia="Times New Roman" w:hAnsi="Times New Roman"/>
          <w:sz w:val="16"/>
          <w:szCs w:val="16"/>
          <w:color w:val="231F20"/>
        </w:rPr>
        <w:t xml:space="preserve">, during the </w:t>
      </w:r>
      <w:r>
        <w:rPr>
          <w:rFonts w:ascii="Times New Roman" w:cs="Times New Roman" w:eastAsia="Times New Roman" w:hAnsi="Times New Roman"/>
          <w:sz w:val="16"/>
          <w:szCs w:val="16"/>
          <w:color w:val="000000"/>
        </w:rPr>
        <w:t>six</w:t>
      </w:r>
      <w:r>
        <w:rPr>
          <w:rFonts w:ascii="Times New Roman" w:cs="Times New Roman" w:eastAsia="Times New Roman" w:hAnsi="Times New Roman"/>
          <w:sz w:val="16"/>
          <w:szCs w:val="16"/>
          <w:color w:val="231F20"/>
        </w:rPr>
        <w:t xml:space="preserve"> months ended June 30, 2025 compared to the </w:t>
      </w:r>
      <w:r>
        <w:rPr>
          <w:rFonts w:ascii="Times New Roman" w:cs="Times New Roman" w:eastAsia="Times New Roman" w:hAnsi="Times New Roman"/>
          <w:sz w:val="16"/>
          <w:szCs w:val="16"/>
          <w:color w:val="000000"/>
        </w:rPr>
        <w:t>six</w:t>
      </w:r>
      <w:r>
        <w:rPr>
          <w:rFonts w:ascii="Times New Roman" w:cs="Times New Roman" w:eastAsia="Times New Roman" w:hAnsi="Times New Roman"/>
          <w:sz w:val="16"/>
          <w:szCs w:val="16"/>
          <w:color w:val="231F20"/>
        </w:rPr>
        <w:t xml:space="preserve"> months ended June 30, 2024. </w:t>
      </w:r>
      <w:r>
        <w:rPr>
          <w:rFonts w:ascii="Times New Roman" w:cs="Times New Roman" w:eastAsia="Times New Roman" w:hAnsi="Times New Roman"/>
          <w:sz w:val="16"/>
          <w:szCs w:val="16"/>
          <w:color w:val="000000"/>
        </w:rPr>
        <w:t>This increase was primarily due to a $1.7 million increase in personnel costs, a $0.7 million increase in technology costs in support of our DSP, a</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$0.6 million increase in stock-based compensation, a $0.4 million increase in depreciation expense and a $0.2 million increase in professional services.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34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26,977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0" w:firstLine="473"/>
        <w:spacing w:after="0" w:line="249"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$3.3</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14%</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2025 compared to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2024. </w:t>
      </w:r>
      <w:r>
        <w:rPr>
          <w:rFonts w:ascii="Times New Roman" w:cs="Times New Roman" w:eastAsia="Times New Roman" w:hAnsi="Times New Roman"/>
          <w:sz w:val="18"/>
          <w:szCs w:val="18"/>
          <w:color w:val="000000"/>
        </w:rPr>
        <w:t>This increase was primarily due to a $1.7 million increase in travel and entertainment expense driven by Company events and employee-related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expenses, a $1.4 million increase in personnel costs, a $0.7 million increase in accounting, legal, and consulting expenses associated with general corporate and compliance matters, a $0.5 million increase in bad debt expense and a $0.2 million increase in recruiting fees partially offset by a $1.0 million decrease in stock-based compensation and a $0.2 million decrease in depreciation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80" w:firstLine="473"/>
        <w:spacing w:after="0" w:line="256" w:lineRule="auto"/>
        <w:rPr>
          <w:sz w:val="20"/>
          <w:szCs w:val="20"/>
          <w:color w:val="auto"/>
        </w:rPr>
      </w:pPr>
      <w:r>
        <w:rPr>
          <w:rFonts w:ascii="Times New Roman" w:cs="Times New Roman" w:eastAsia="Times New Roman" w:hAnsi="Times New Roman"/>
          <w:sz w:val="18"/>
          <w:szCs w:val="18"/>
          <w:color w:val="231F20"/>
        </w:rPr>
        <w:t xml:space="preserve">Total other income, net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$1.9</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39%,</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2025 compared to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2024. </w:t>
      </w:r>
      <w:r>
        <w:rPr>
          <w:rFonts w:ascii="Times New Roman" w:cs="Times New Roman" w:eastAsia="Times New Roman" w:hAnsi="Times New Roman"/>
          <w:sz w:val="18"/>
          <w:szCs w:val="18"/>
          <w:color w:val="000000"/>
        </w:rPr>
        <w:t xml:space="preserve">This decrease was primarily attributable to a $1.5 million decrease in interest income on cash and cash equivalents driven by lower interest rates and lower money market fund balances, as well as Tax Receivable Agreement ("TRA") expense of $0.3 million in the six </w:t>
      </w:r>
      <w:r>
        <w:rPr>
          <w:rFonts w:ascii="Times New Roman" w:cs="Times New Roman" w:eastAsia="Times New Roman" w:hAnsi="Times New Roman"/>
          <w:sz w:val="18"/>
          <w:szCs w:val="18"/>
          <w:color w:val="231F20"/>
        </w:rPr>
        <w:t>months ended June 30, 2025</w:t>
      </w:r>
      <w:r>
        <w:rPr>
          <w:rFonts w:ascii="Times New Roman" w:cs="Times New Roman" w:eastAsia="Times New Roman" w:hAnsi="Times New Roman"/>
          <w:sz w:val="18"/>
          <w:szCs w:val="18"/>
          <w:color w:val="000000"/>
        </w:rPr>
        <w:t>.</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right="220" w:firstLine="473"/>
        <w:spacing w:after="0" w:line="268" w:lineRule="auto"/>
        <w:rPr>
          <w:sz w:val="20"/>
          <w:szCs w:val="20"/>
          <w:color w:val="auto"/>
        </w:rPr>
      </w:pPr>
      <w:r>
        <w:rPr>
          <w:rFonts w:ascii="Times New Roman" w:cs="Times New Roman" w:eastAsia="Times New Roman" w:hAnsi="Times New Roman"/>
          <w:sz w:val="18"/>
          <w:szCs w:val="18"/>
          <w:color w:val="auto"/>
        </w:rPr>
        <w:t>For the six months ended June 30, 2025 and 2024, total interest cost incurred was $0.2 million and $0.2 million, respectively. Interest costs capitalized during the six months ended June 30, 2025 and 2024 were zero.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540" w:type="dxa"/>
            <w:vAlign w:val="bottom"/>
            <w:gridSpan w:val="4"/>
          </w:tcPr>
          <w:p>
            <w:pPr>
              <w:jc w:val="center"/>
              <w:ind w:left="354"/>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2"/>
              </w:rPr>
              <w:t>(444)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900" w:type="dxa"/>
            <w:vAlign w:val="bottom"/>
          </w:tcPr>
          <w:p>
            <w:pPr>
              <w:spacing w:after="0"/>
              <w:rPr>
                <w:sz w:val="19"/>
                <w:szCs w:val="19"/>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2025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The benefit from income taxes was </w:t>
      </w:r>
      <w:r>
        <w:rPr>
          <w:rFonts w:ascii="Times New Roman" w:cs="Times New Roman" w:eastAsia="Times New Roman" w:hAnsi="Times New Roman"/>
          <w:sz w:val="18"/>
          <w:szCs w:val="18"/>
          <w:color w:val="000000"/>
        </w:rPr>
        <w:t>$0.4 million for the six</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months ended </w:t>
      </w:r>
      <w:r>
        <w:rPr>
          <w:rFonts w:ascii="Times New Roman" w:cs="Times New Roman" w:eastAsia="Times New Roman" w:hAnsi="Times New Roman"/>
          <w:sz w:val="18"/>
          <w:szCs w:val="18"/>
          <w:color w:val="231F20"/>
        </w:rPr>
        <w:t>June 30, 2025, attributable to year-to-date loss and excess tax benefit on vested stock-based compensation. We did not recognize an income tax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benefit/expense for </w:t>
      </w:r>
      <w:r>
        <w:rPr>
          <w:rFonts w:ascii="Times New Roman" w:cs="Times New Roman" w:eastAsia="Times New Roman" w:hAnsi="Times New Roman"/>
          <w:sz w:val="18"/>
          <w:szCs w:val="18"/>
          <w:color w:val="000000"/>
        </w:rPr>
        <w:t>the six months ended</w:t>
      </w:r>
      <w:r>
        <w:rPr>
          <w:rFonts w:ascii="Times New Roman" w:cs="Times New Roman" w:eastAsia="Times New Roman" w:hAnsi="Times New Roman"/>
          <w:sz w:val="18"/>
          <w:szCs w:val="18"/>
          <w:color w:val="231F20"/>
        </w:rPr>
        <w:t xml:space="preserve">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12"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understanding of our overall performance and investors’ ability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 measures include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6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6"/>
        </w:trPr>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(NM = Not Meaningful)</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
        </w:trPr>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24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Operating and Financial</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35,883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30,744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66,445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54,257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41,558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75,679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77,841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66,637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153,342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125,722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31,958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63,004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171"/>
        </w:trPr>
        <w:tc>
          <w:tcPr>
            <w:tcW w:w="24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Net income (loss) as a percentage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gross profit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71"/>
        </w:trPr>
        <w:tc>
          <w:tcPr>
            <w:tcW w:w="24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Adjusted EBITDA as a</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9"/>
        </w:trPr>
        <w:tc>
          <w:tcPr>
            <w:tcW w:w="24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percentage of contribution ex-</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7,207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per share—diluted $</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71"/>
        </w:trPr>
        <w:tc>
          <w:tcPr>
            <w:tcW w:w="24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Non-GAAP earnings (loss) per</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share—basic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171"/>
        </w:trPr>
        <w:tc>
          <w:tcPr>
            <w:tcW w:w="24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Non-GAAP earnings (loss) per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share—diluted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0" w:lineRule="exact"/>
        <w:rPr>
          <w:sz w:val="20"/>
          <w:szCs w:val="20"/>
          <w:color w:val="auto"/>
        </w:rPr>
      </w:pPr>
    </w:p>
    <w:p>
      <w:pPr>
        <w:ind w:right="100" w:firstLine="473"/>
        <w:spacing w:after="0" w:line="285" w:lineRule="auto"/>
        <w:rPr>
          <w:sz w:val="20"/>
          <w:szCs w:val="20"/>
          <w:color w:val="auto"/>
        </w:rPr>
      </w:pPr>
      <w:r>
        <w:rPr>
          <w:rFonts w:ascii="Times New Roman" w:cs="Times New Roman" w:eastAsia="Times New Roman" w:hAnsi="Times New Roman"/>
          <w:sz w:val="16"/>
          <w:szCs w:val="16"/>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56"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0"/>
        </w:trPr>
        <w:tc>
          <w:tcPr>
            <w:tcW w:w="72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r>
      <w:tr>
        <w:trPr>
          <w:trHeight w:val="217"/>
        </w:trPr>
        <w:tc>
          <w:tcPr>
            <w:tcW w:w="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6"/>
              </w:rPr>
              <w:t>77,853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6"/>
              </w:rPr>
              <w:t>65,866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119,259</w:t>
            </w:r>
          </w:p>
        </w:tc>
        <w:tc>
          <w:tcPr>
            <w:tcW w:w="220" w:type="dxa"/>
            <w:vAlign w:val="bottom"/>
          </w:tcPr>
          <w:p>
            <w:pPr>
              <w:spacing w:after="0"/>
              <w:rPr>
                <w:sz w:val="18"/>
                <w:szCs w:val="18"/>
                <w:color w:val="auto"/>
              </w:rPr>
            </w:pPr>
          </w:p>
        </w:tc>
      </w:tr>
      <w:tr>
        <w:trPr>
          <w:trHeight w:val="223"/>
        </w:trPr>
        <w:tc>
          <w:tcPr>
            <w:tcW w:w="720" w:type="dxa"/>
            <w:vAlign w:val="bottom"/>
          </w:tcPr>
          <w:p>
            <w:pPr>
              <w:spacing w:after="0"/>
              <w:rPr>
                <w:sz w:val="19"/>
                <w:szCs w:val="19"/>
                <w:color w:val="auto"/>
              </w:rPr>
            </w:pPr>
          </w:p>
        </w:tc>
        <w:tc>
          <w:tcPr>
            <w:tcW w:w="4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Platform operations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7"/>
              </w:rPr>
              <w:t>(41,970)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7"/>
              </w:rPr>
              <w:t>(35,122)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(65,002)</w:t>
            </w:r>
          </w:p>
        </w:tc>
        <w:tc>
          <w:tcPr>
            <w:tcW w:w="220" w:type="dxa"/>
            <w:vAlign w:val="bottom"/>
          </w:tcPr>
          <w:p>
            <w:pPr>
              <w:spacing w:after="0"/>
              <w:rPr>
                <w:sz w:val="19"/>
                <w:szCs w:val="19"/>
                <w:color w:val="auto"/>
              </w:rPr>
            </w:pPr>
          </w:p>
        </w:tc>
      </w:tr>
      <w:tr>
        <w:trPr>
          <w:trHeight w:val="217"/>
        </w:trPr>
        <w:tc>
          <w:tcPr>
            <w:tcW w:w="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6"/>
              </w:rPr>
              <w:t>35,883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6"/>
              </w:rPr>
              <w:t>30,744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54,257</w:t>
            </w:r>
          </w:p>
        </w:tc>
        <w:tc>
          <w:tcPr>
            <w:tcW w:w="220" w:type="dxa"/>
            <w:vAlign w:val="bottom"/>
          </w:tcPr>
          <w:p>
            <w:pPr>
              <w:spacing w:after="0"/>
              <w:rPr>
                <w:sz w:val="18"/>
                <w:szCs w:val="18"/>
                <w:color w:val="auto"/>
              </w:rPr>
            </w:pPr>
          </w:p>
        </w:tc>
      </w:tr>
      <w:tr>
        <w:trPr>
          <w:trHeight w:val="223"/>
        </w:trPr>
        <w:tc>
          <w:tcPr>
            <w:tcW w:w="720" w:type="dxa"/>
            <w:vAlign w:val="bottom"/>
          </w:tcPr>
          <w:p>
            <w:pPr>
              <w:spacing w:after="0"/>
              <w:rPr>
                <w:sz w:val="19"/>
                <w:szCs w:val="19"/>
                <w:color w:val="auto"/>
              </w:rPr>
            </w:pPr>
          </w:p>
        </w:tc>
        <w:tc>
          <w:tcPr>
            <w:tcW w:w="4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6"/>
              </w:rPr>
              <w:t>12,489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6"/>
              </w:rPr>
              <w:t>10,814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21,422</w:t>
            </w:r>
          </w:p>
        </w:tc>
        <w:tc>
          <w:tcPr>
            <w:tcW w:w="220" w:type="dxa"/>
            <w:vAlign w:val="bottom"/>
          </w:tcPr>
          <w:p>
            <w:pPr>
              <w:spacing w:after="0"/>
              <w:rPr>
                <w:sz w:val="19"/>
                <w:szCs w:val="19"/>
                <w:color w:val="auto"/>
              </w:rPr>
            </w:pPr>
          </w:p>
        </w:tc>
      </w:tr>
      <w:tr>
        <w:trPr>
          <w:trHeight w:val="242"/>
        </w:trPr>
        <w:tc>
          <w:tcPr>
            <w:tcW w:w="72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6"/>
              </w:rPr>
              <w:t>48,372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6"/>
              </w:rPr>
              <w:t>41,558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75,679</w:t>
            </w:r>
          </w:p>
        </w:tc>
        <w:tc>
          <w:tcPr>
            <w:tcW w:w="220" w:type="dxa"/>
            <w:vAlign w:val="bottom"/>
          </w:tcPr>
          <w:p>
            <w:pPr>
              <w:spacing w:after="0"/>
              <w:rPr>
                <w:sz w:val="20"/>
                <w:szCs w:val="20"/>
                <w:color w:val="auto"/>
              </w:rPr>
            </w:pPr>
          </w:p>
        </w:tc>
      </w:tr>
      <w:tr>
        <w:trPr>
          <w:trHeight w:val="20"/>
        </w:trPr>
        <w:tc>
          <w:tcPr>
            <w:tcW w:w="7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82"/>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2"/>
        </w:trPr>
        <w:tc>
          <w:tcPr>
            <w:tcW w:w="72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0" w:lineRule="exact"/>
        <w:rPr>
          <w:sz w:val="20"/>
          <w:szCs w:val="20"/>
          <w:color w:val="auto"/>
        </w:rPr>
      </w:pPr>
    </w:p>
    <w:p>
      <w:pPr>
        <w:ind w:firstLine="473"/>
        <w:spacing w:after="0" w:line="282" w:lineRule="auto"/>
        <w:rPr>
          <w:sz w:val="20"/>
          <w:szCs w:val="20"/>
          <w:color w:val="auto"/>
        </w:rPr>
      </w:pPr>
      <w:r>
        <w:rPr>
          <w:rFonts w:ascii="Times New Roman" w:cs="Times New Roman" w:eastAsia="Times New Roman" w:hAnsi="Times New Roman"/>
          <w:sz w:val="16"/>
          <w:szCs w:val="16"/>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and other charges, transaction expense, and TRA remeasurement expense.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268" w:lineRule="exact"/>
        <w:rPr>
          <w:sz w:val="20"/>
          <w:szCs w:val="20"/>
          <w:color w:val="auto"/>
        </w:rPr>
      </w:pPr>
    </w:p>
    <w:p>
      <w:pPr>
        <w:ind w:right="20" w:firstLine="473"/>
        <w:spacing w:after="0" w:line="249"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periods presented:</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4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82,050</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65,002</w:t>
            </w: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w:t>
            </w: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w:t>
            </w:r>
          </w:p>
        </w:tc>
      </w:tr>
      <w:tr>
        <w:trPr>
          <w:trHeight w:val="21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125,722</w:t>
            </w: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(43,580)</w:t>
            </w: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r>
      <w:tr>
        <w:trPr>
          <w:trHeight w:val="223"/>
        </w:trPr>
        <w:tc>
          <w:tcPr>
            <w:tcW w:w="460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4600" w:type="dxa"/>
            <w:vAlign w:val="bottom"/>
          </w:tcPr>
          <w:p>
            <w:pPr>
              <w:ind w:left="160"/>
              <w:spacing w:after="0" w:line="223"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460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63,004</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960" w:right="140" w:hanging="324"/>
        <w:spacing w:after="0" w:line="268"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six </w:t>
      </w:r>
      <w:r>
        <w:rPr>
          <w:rFonts w:ascii="Times New Roman" w:cs="Times New Roman" w:eastAsia="Times New Roman" w:hAnsi="Times New Roman"/>
          <w:sz w:val="18"/>
          <w:szCs w:val="18"/>
          <w:color w:val="231F20"/>
        </w:rPr>
        <w:t>months ended June 30, 2024</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231F20"/>
        </w:rPr>
      </w:pPr>
    </w:p>
    <w:p>
      <w:pPr>
        <w:jc w:val="both"/>
        <w:ind w:left="960" w:hanging="324"/>
        <w:spacing w:after="0" w:line="331" w:lineRule="auto"/>
        <w:tabs>
          <w:tab w:leader="none" w:pos="954" w:val="left"/>
        </w:tabs>
        <w:numPr>
          <w:ilvl w:val="0"/>
          <w:numId w:val="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 xml:space="preserve">Transaction expense consists of costs incurred related to our contemplated and completed acquisitions for the three and six months ended </w:t>
      </w:r>
      <w:r>
        <w:rPr>
          <w:rFonts w:ascii="Times New Roman" w:cs="Times New Roman" w:eastAsia="Times New Roman" w:hAnsi="Times New Roman"/>
          <w:sz w:val="16"/>
          <w:szCs w:val="16"/>
          <w:color w:val="231F20"/>
        </w:rPr>
        <w:t>June 30,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2025 and costs incurred for the Company's filing of a "shelf" registration statement on Form S-3 for </w:t>
      </w:r>
      <w:r>
        <w:rPr>
          <w:rFonts w:ascii="Times New Roman" w:cs="Times New Roman" w:eastAsia="Times New Roman" w:hAnsi="Times New Roman"/>
          <w:sz w:val="16"/>
          <w:szCs w:val="16"/>
          <w:color w:val="000000"/>
        </w:rPr>
        <w:t>the three and six months ended June 30, 2024.</w:t>
      </w:r>
    </w:p>
    <w:p>
      <w:pPr>
        <w:spacing w:after="0" w:line="18" w:lineRule="exact"/>
        <w:rPr>
          <w:rFonts w:ascii="Times New Roman" w:cs="Times New Roman" w:eastAsia="Times New Roman" w:hAnsi="Times New Roman"/>
          <w:sz w:val="16"/>
          <w:szCs w:val="16"/>
          <w:color w:val="231F20"/>
        </w:rPr>
      </w:pPr>
    </w:p>
    <w:p>
      <w:pPr>
        <w:ind w:left="940" w:hanging="304"/>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six months ended </w:t>
      </w:r>
      <w:r>
        <w:rPr>
          <w:rFonts w:ascii="Times New Roman" w:cs="Times New Roman" w:eastAsia="Times New Roman" w:hAnsi="Times New Roman"/>
          <w:sz w:val="18"/>
          <w:szCs w:val="18"/>
          <w:color w:val="231F20"/>
        </w:rPr>
        <w:t>June 30,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0" w:lineRule="exact"/>
        <w:rPr>
          <w:sz w:val="20"/>
          <w:szCs w:val="20"/>
          <w:color w:val="auto"/>
        </w:rPr>
      </w:pPr>
    </w:p>
    <w:p>
      <w:pPr>
        <w:ind w:right="580" w:firstLine="473"/>
        <w:spacing w:after="0" w:line="268" w:lineRule="auto"/>
        <w:rPr>
          <w:sz w:val="20"/>
          <w:szCs w:val="20"/>
          <w:color w:val="auto"/>
        </w:rPr>
      </w:pPr>
      <w:r>
        <w:rPr>
          <w:rFonts w:ascii="Times New Roman" w:cs="Times New Roman" w:eastAsia="Times New Roman" w:hAnsi="Times New Roman"/>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w:t>
      </w:r>
    </w:p>
    <w:p>
      <w:pPr>
        <w:spacing w:after="0" w:line="37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231F20"/>
        </w:rPr>
        <w:t>core operations, such as restructuring and other charges, transaction expense, and TRA remeasurement expense. Net income (loss) is the most comparable GAAP financial measure. Adjusted EBITDA as a percentage of contribution ex-TAC is a non-GAAP financial measure we calculate by dividing adjusted EBITDA by contribution ex-TAC for the period or periods presented. Net income (loss) as a percentage of gross profit is the most comparable GAAP financial measure.</w:t>
      </w:r>
    </w:p>
    <w:p>
      <w:pPr>
        <w:spacing w:after="0" w:line="77" w:lineRule="exact"/>
        <w:rPr>
          <w:sz w:val="20"/>
          <w:szCs w:val="20"/>
          <w:color w:val="auto"/>
        </w:rPr>
      </w:pPr>
    </w:p>
    <w:p>
      <w:pPr>
        <w:ind w:right="80" w:firstLine="473"/>
        <w:spacing w:after="0" w:line="247" w:lineRule="auto"/>
        <w:rPr>
          <w:sz w:val="20"/>
          <w:szCs w:val="20"/>
          <w:color w:val="auto"/>
        </w:rPr>
      </w:pPr>
      <w:r>
        <w:rPr>
          <w:rFonts w:ascii="Times New Roman" w:cs="Times New Roman" w:eastAsia="Times New Roman" w:hAnsi="Times New Roman"/>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86" w:lineRule="exact"/>
        <w:rPr>
          <w:sz w:val="20"/>
          <w:szCs w:val="20"/>
          <w:color w:val="auto"/>
        </w:rPr>
      </w:pPr>
    </w:p>
    <w:p>
      <w:pPr>
        <w:ind w:right="120" w:firstLine="473"/>
        <w:spacing w:after="0" w:line="331" w:lineRule="auto"/>
        <w:rPr>
          <w:sz w:val="20"/>
          <w:szCs w:val="20"/>
          <w:color w:val="auto"/>
        </w:rPr>
      </w:pPr>
      <w:r>
        <w:rPr>
          <w:rFonts w:ascii="Times New Roman" w:cs="Times New Roman" w:eastAsia="Times New Roman" w:hAnsi="Times New Roman"/>
          <w:sz w:val="16"/>
          <w:szCs w:val="16"/>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18" w:lineRule="exact"/>
        <w:rPr>
          <w:sz w:val="20"/>
          <w:szCs w:val="20"/>
          <w:color w:val="auto"/>
        </w:rPr>
      </w:pPr>
    </w:p>
    <w:p>
      <w:pPr>
        <w:ind w:left="1260" w:right="160" w:hanging="624"/>
        <w:spacing w:after="0" w:line="256" w:lineRule="auto"/>
        <w:tabs>
          <w:tab w:leader="none" w:pos="1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3" w:lineRule="exact"/>
        <w:rPr>
          <w:rFonts w:ascii="Times New Roman" w:cs="Times New Roman" w:eastAsia="Times New Roman" w:hAnsi="Times New Roman"/>
          <w:sz w:val="18"/>
          <w:szCs w:val="18"/>
          <w:color w:val="auto"/>
        </w:rPr>
      </w:pPr>
    </w:p>
    <w:p>
      <w:pPr>
        <w:ind w:left="1260" w:hanging="624"/>
        <w:spacing w:after="0" w:line="256" w:lineRule="auto"/>
        <w:tabs>
          <w:tab w:leader="none" w:pos="1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3" w:lineRule="exact"/>
        <w:rPr>
          <w:rFonts w:ascii="Times New Roman" w:cs="Times New Roman" w:eastAsia="Times New Roman" w:hAnsi="Times New Roman"/>
          <w:sz w:val="18"/>
          <w:szCs w:val="18"/>
          <w:color w:val="auto"/>
        </w:rPr>
      </w:pPr>
    </w:p>
    <w:p>
      <w:pPr>
        <w:ind w:left="1260" w:right="100" w:hanging="624"/>
        <w:spacing w:after="0" w:line="268" w:lineRule="auto"/>
        <w:tabs>
          <w:tab w:leader="none" w:pos="1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 does not reflect changes in, or cash requirements for, our working capital needs or the potentially dilutive impact of stock-based compensation.</w:t>
      </w:r>
    </w:p>
    <w:p>
      <w:pPr>
        <w:spacing w:after="0" w:line="63" w:lineRule="exact"/>
        <w:rPr>
          <w:sz w:val="20"/>
          <w:szCs w:val="20"/>
          <w:color w:val="auto"/>
        </w:rPr>
      </w:pPr>
    </w:p>
    <w:p>
      <w:pPr>
        <w:ind w:right="380" w:firstLine="473"/>
        <w:spacing w:after="0" w:line="268" w:lineRule="auto"/>
        <w:rPr>
          <w:sz w:val="20"/>
          <w:szCs w:val="20"/>
          <w:color w:val="auto"/>
        </w:rPr>
      </w:pPr>
      <w:r>
        <w:rPr>
          <w:rFonts w:ascii="Times New Roman" w:cs="Times New Roman" w:eastAsia="Times New Roman" w:hAnsi="Times New Roman"/>
          <w:sz w:val="18"/>
          <w:szCs w:val="18"/>
          <w:color w:val="231F20"/>
        </w:rPr>
        <w:t>Because of these and other potential limitations, you should consider our non-GAAP financial measures only as supplemental to other GAAP-based financial performance measures, including revenue, net income (loss) and cash flows.</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(loss) to adjusted EBITDA for the periods presented:</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3"/>
        </w:trPr>
        <w:tc>
          <w:tcPr>
            <w:tcW w:w="460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4600" w:type="dxa"/>
            <w:vAlign w:val="bottom"/>
          </w:tcPr>
          <w:p>
            <w:pPr>
              <w:ind w:left="160"/>
              <w:spacing w:after="0" w:line="223"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460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16,685</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960" w:right="140" w:hanging="324"/>
        <w:spacing w:after="0" w:line="268"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six </w:t>
      </w:r>
      <w:r>
        <w:rPr>
          <w:rFonts w:ascii="Times New Roman" w:cs="Times New Roman" w:eastAsia="Times New Roman" w:hAnsi="Times New Roman"/>
          <w:sz w:val="18"/>
          <w:szCs w:val="18"/>
          <w:color w:val="231F20"/>
        </w:rPr>
        <w:t>months ended June 30, 2024</w:t>
      </w:r>
      <w:r>
        <w:rPr>
          <w:rFonts w:ascii="Times New Roman" w:cs="Times New Roman" w:eastAsia="Times New Roman" w:hAnsi="Times New Roman"/>
          <w:sz w:val="18"/>
          <w:szCs w:val="18"/>
          <w:color w:val="000000"/>
        </w:rPr>
        <w:t>.</w:t>
      </w: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jc w:val="both"/>
        <w:ind w:left="960" w:hanging="324"/>
        <w:spacing w:after="0" w:line="331" w:lineRule="auto"/>
        <w:tabs>
          <w:tab w:leader="none" w:pos="954" w:val="left"/>
        </w:tabs>
        <w:numPr>
          <w:ilvl w:val="0"/>
          <w:numId w:val="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 xml:space="preserve">Transaction expense consists of costs incurred related to our contemplated and completed acquisitions for the three and six months ended </w:t>
      </w:r>
      <w:r>
        <w:rPr>
          <w:rFonts w:ascii="Times New Roman" w:cs="Times New Roman" w:eastAsia="Times New Roman" w:hAnsi="Times New Roman"/>
          <w:sz w:val="16"/>
          <w:szCs w:val="16"/>
          <w:color w:val="231F20"/>
        </w:rPr>
        <w:t>June 30,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2025 and costs incurred for the Company's filing of a "shelf" registration statement on Form S-3 for </w:t>
      </w:r>
      <w:r>
        <w:rPr>
          <w:rFonts w:ascii="Times New Roman" w:cs="Times New Roman" w:eastAsia="Times New Roman" w:hAnsi="Times New Roman"/>
          <w:sz w:val="16"/>
          <w:szCs w:val="16"/>
          <w:color w:val="000000"/>
        </w:rPr>
        <w:t>the three and six months ended June 30, 2024.</w:t>
      </w:r>
    </w:p>
    <w:p>
      <w:pPr>
        <w:spacing w:after="0" w:line="18" w:lineRule="exact"/>
        <w:rPr>
          <w:rFonts w:ascii="Times New Roman" w:cs="Times New Roman" w:eastAsia="Times New Roman" w:hAnsi="Times New Roman"/>
          <w:sz w:val="16"/>
          <w:szCs w:val="16"/>
          <w:color w:val="231F20"/>
        </w:rPr>
      </w:pPr>
    </w:p>
    <w:p>
      <w:pPr>
        <w:ind w:left="940" w:hanging="30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six months ended </w:t>
      </w:r>
      <w:r>
        <w:rPr>
          <w:rFonts w:ascii="Times New Roman" w:cs="Times New Roman" w:eastAsia="Times New Roman" w:hAnsi="Times New Roman"/>
          <w:sz w:val="18"/>
          <w:szCs w:val="18"/>
          <w:color w:val="231F20"/>
        </w:rPr>
        <w:t>June 30, 2025.</w:t>
      </w:r>
    </w:p>
    <w:p>
      <w:pPr>
        <w:spacing w:after="0" w:line="214" w:lineRule="exact"/>
        <w:rPr>
          <w:sz w:val="20"/>
          <w:szCs w:val="20"/>
          <w:color w:val="auto"/>
        </w:rPr>
      </w:pPr>
    </w:p>
    <w:p>
      <w:pPr>
        <w:ind w:right="120" w:firstLine="473"/>
        <w:spacing w:after="0" w:line="268" w:lineRule="auto"/>
        <w:rPr>
          <w:sz w:val="20"/>
          <w:szCs w:val="20"/>
          <w:color w:val="auto"/>
        </w:rPr>
      </w:pPr>
      <w:r>
        <w:rPr>
          <w:rFonts w:ascii="Times New Roman" w:cs="Times New Roman" w:eastAsia="Times New Roman" w:hAnsi="Times New Roman"/>
          <w:sz w:val="18"/>
          <w:szCs w:val="18"/>
          <w:color w:val="231F20"/>
        </w:rPr>
        <w:t>The following table presents the calculation of net income (loss) as a percentage of gross profit and the calculation of adjusted EBITDA as a percentage of contribution ex-TAC for the periods presented:</w:t>
      </w:r>
    </w:p>
    <w:p>
      <w:pPr>
        <w:spacing w:after="0" w:line="7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0"/>
        </w:trPr>
        <w:tc>
          <w:tcPr>
            <w:tcW w:w="4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35,883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30,744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66,445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54,257</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as a percentage of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2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2"/>
                <w:szCs w:val="22"/>
                <w:color w:val="auto"/>
                <w:vertAlign w:val="superscript"/>
              </w:rPr>
              <w:t>(1)</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Pr>
          <w:p>
            <w:pPr>
              <w:spacing w:after="0"/>
              <w:rPr>
                <w:sz w:val="19"/>
                <w:szCs w:val="19"/>
                <w:color w:val="auto"/>
              </w:rPr>
            </w:pP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41,558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91,102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75,679</w:t>
            </w:r>
          </w:p>
        </w:tc>
      </w:tr>
      <w:tr>
        <w:trPr>
          <w:trHeight w:val="22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12,675</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Adjusted EBITDA as a percentage of contribution ex-TAC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77" w:lineRule="exact"/>
        <w:rPr>
          <w:sz w:val="20"/>
          <w:szCs w:val="20"/>
          <w:color w:val="auto"/>
        </w:rPr>
      </w:pPr>
    </w:p>
    <w:p>
      <w:pPr>
        <w:ind w:left="960" w:right="480" w:hanging="324"/>
        <w:spacing w:after="0" w:line="270" w:lineRule="auto"/>
        <w:tabs>
          <w:tab w:leader="none" w:pos="95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0"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231F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 and TRA remeasurement expense,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83" w:lineRule="exact"/>
        <w:rPr>
          <w:sz w:val="20"/>
          <w:szCs w:val="20"/>
          <w:color w:val="auto"/>
        </w:rPr>
      </w:pPr>
    </w:p>
    <w:p>
      <w:pPr>
        <w:ind w:right="140" w:firstLine="473"/>
        <w:spacing w:after="0" w:line="249"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3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82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w w:val="97"/>
              </w:rPr>
              <w:t xml:space="preserve">The following table presents a reconciliation of net income (loss) to non-GAAP net income for the </w:t>
            </w:r>
            <w:r>
              <w:rPr>
                <w:rFonts w:ascii="Times New Roman" w:cs="Times New Roman" w:eastAsia="Times New Roman" w:hAnsi="Times New Roman"/>
                <w:sz w:val="18"/>
                <w:szCs w:val="18"/>
                <w:color w:val="231F20"/>
                <w:w w:val="97"/>
              </w:rPr>
              <w:t>periods presented: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03"/>
        </w:trPr>
        <w:tc>
          <w:tcPr>
            <w:tcW w:w="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24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88"/>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2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1,787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2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Add back (less):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6,343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3"/>
        </w:trPr>
        <w:tc>
          <w:tcPr>
            <w:tcW w:w="240" w:type="dxa"/>
            <w:vAlign w:val="bottom"/>
          </w:tcPr>
          <w:p>
            <w:pPr>
              <w:spacing w:after="0"/>
              <w:rPr>
                <w:sz w:val="19"/>
                <w:szCs w:val="19"/>
                <w:color w:val="auto"/>
              </w:rPr>
            </w:pPr>
          </w:p>
        </w:tc>
        <w:tc>
          <w:tcPr>
            <w:tcW w:w="4600" w:type="dxa"/>
            <w:vAlign w:val="bottom"/>
          </w:tcPr>
          <w:p>
            <w:pPr>
              <w:ind w:left="160"/>
              <w:spacing w:after="0" w:line="223"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2"/>
                <w:szCs w:val="22"/>
                <w:color w:val="auto"/>
                <w:vertAlign w:val="superscript"/>
              </w:rPr>
              <w:t>(1)</w:t>
            </w: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240" w:type="dxa"/>
            <w:vAlign w:val="bottom"/>
          </w:tcPr>
          <w:p>
            <w:pPr>
              <w:spacing w:after="0"/>
              <w:rPr>
                <w:sz w:val="19"/>
                <w:szCs w:val="19"/>
                <w:color w:val="auto"/>
              </w:rPr>
            </w:pPr>
          </w:p>
        </w:tc>
        <w:tc>
          <w:tcPr>
            <w:tcW w:w="460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2"/>
                <w:szCs w:val="22"/>
                <w:color w:val="auto"/>
                <w:vertAlign w:val="superscript"/>
              </w:rPr>
              <w:t>(2)</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240" w:type="dxa"/>
            <w:vAlign w:val="bottom"/>
          </w:tcPr>
          <w:p>
            <w:pPr>
              <w:spacing w:after="0"/>
              <w:rPr>
                <w:sz w:val="19"/>
                <w:szCs w:val="19"/>
                <w:color w:val="auto"/>
              </w:rPr>
            </w:pPr>
          </w:p>
        </w:tc>
        <w:tc>
          <w:tcPr>
            <w:tcW w:w="4600" w:type="dxa"/>
            <w:vAlign w:val="bottom"/>
          </w:tcPr>
          <w:p>
            <w:pPr>
              <w:ind w:left="160"/>
              <w:spacing w:after="0" w:line="223"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2"/>
                <w:szCs w:val="22"/>
                <w:color w:val="auto"/>
                <w:vertAlign w:val="superscript"/>
              </w:rPr>
              <w:t>(3)</w:t>
            </w: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240" w:type="dxa"/>
            <w:vAlign w:val="bottom"/>
          </w:tcPr>
          <w:p>
            <w:pPr>
              <w:spacing w:after="0"/>
              <w:rPr>
                <w:sz w:val="14"/>
                <w:szCs w:val="14"/>
                <w:color w:val="auto"/>
              </w:rPr>
            </w:pPr>
          </w:p>
        </w:tc>
        <w:tc>
          <w:tcPr>
            <w:tcW w:w="460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8"/>
                <w:szCs w:val="18"/>
                <w:color w:val="auto"/>
              </w:rPr>
              <w:t>Income tax benefit (expense) related to Viant Technology</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7"/>
        </w:trPr>
        <w:tc>
          <w:tcPr>
            <w:tcW w:w="240" w:type="dxa"/>
            <w:vAlign w:val="bottom"/>
          </w:tcPr>
          <w:p>
            <w:pPr>
              <w:spacing w:after="0"/>
              <w:rPr>
                <w:sz w:val="20"/>
                <w:szCs w:val="20"/>
                <w:color w:val="auto"/>
              </w:rPr>
            </w:pPr>
          </w:p>
        </w:tc>
        <w:tc>
          <w:tcPr>
            <w:tcW w:w="4600" w:type="dxa"/>
            <w:vAlign w:val="bottom"/>
            <w:shd w:val="clear" w:color="auto" w:fill="CCEEFF"/>
          </w:tcPr>
          <w:p>
            <w:pPr>
              <w:ind w:left="240"/>
              <w:spacing w:after="0" w:line="237" w:lineRule="exact"/>
              <w:rPr>
                <w:sz w:val="20"/>
                <w:szCs w:val="20"/>
                <w:color w:val="auto"/>
              </w:rPr>
            </w:pPr>
            <w:r>
              <w:rPr>
                <w:rFonts w:ascii="Times New Roman" w:cs="Times New Roman" w:eastAsia="Times New Roman" w:hAnsi="Times New Roman"/>
                <w:sz w:val="18"/>
                <w:szCs w:val="18"/>
                <w:color w:val="auto"/>
              </w:rPr>
              <w:t>Inc.’s share of non-GAAP pre-tax income (loss)</w:t>
            </w:r>
            <w:r>
              <w:rPr>
                <w:rFonts w:ascii="Times New Roman" w:cs="Times New Roman" w:eastAsia="Times New Roman" w:hAnsi="Times New Roman"/>
                <w:sz w:val="22"/>
                <w:szCs w:val="22"/>
                <w:color w:val="auto"/>
                <w:vertAlign w:val="superscript"/>
              </w:rPr>
              <w:t>(4)</w:t>
            </w:r>
          </w:p>
        </w:tc>
        <w:tc>
          <w:tcPr>
            <w:tcW w:w="8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7"/>
        </w:trPr>
        <w:tc>
          <w:tcPr>
            <w:tcW w:w="2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8,012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7,207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r>
      <w:tr>
        <w:trPr>
          <w:trHeight w:val="20"/>
        </w:trPr>
        <w:tc>
          <w:tcPr>
            <w:tcW w:w="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960" w:right="140" w:hanging="324"/>
        <w:spacing w:after="0" w:line="268"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six </w:t>
      </w:r>
      <w:r>
        <w:rPr>
          <w:rFonts w:ascii="Times New Roman" w:cs="Times New Roman" w:eastAsia="Times New Roman" w:hAnsi="Times New Roman"/>
          <w:sz w:val="18"/>
          <w:szCs w:val="18"/>
          <w:color w:val="231F20"/>
        </w:rPr>
        <w:t>months ended June 30, 2024</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231F20"/>
        </w:rPr>
      </w:pPr>
    </w:p>
    <w:p>
      <w:pPr>
        <w:jc w:val="both"/>
        <w:ind w:left="960" w:hanging="324"/>
        <w:spacing w:after="0" w:line="331" w:lineRule="auto"/>
        <w:tabs>
          <w:tab w:leader="none" w:pos="954" w:val="left"/>
        </w:tabs>
        <w:numPr>
          <w:ilvl w:val="0"/>
          <w:numId w:val="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 xml:space="preserve">Transaction expense consists of costs incurred related to our contemplated and completed acquisitions for the three and six months ended </w:t>
      </w:r>
      <w:r>
        <w:rPr>
          <w:rFonts w:ascii="Times New Roman" w:cs="Times New Roman" w:eastAsia="Times New Roman" w:hAnsi="Times New Roman"/>
          <w:sz w:val="16"/>
          <w:szCs w:val="16"/>
          <w:color w:val="231F20"/>
        </w:rPr>
        <w:t>June 30,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2025 and costs incurred for the Company's filing of a "shelf" registration statement on Form S-3 for </w:t>
      </w:r>
      <w:r>
        <w:rPr>
          <w:rFonts w:ascii="Times New Roman" w:cs="Times New Roman" w:eastAsia="Times New Roman" w:hAnsi="Times New Roman"/>
          <w:sz w:val="16"/>
          <w:szCs w:val="16"/>
          <w:color w:val="000000"/>
        </w:rPr>
        <w:t>the three and six months ended June 30, 2024.</w:t>
      </w:r>
    </w:p>
    <w:p>
      <w:pPr>
        <w:spacing w:after="0" w:line="18" w:lineRule="exact"/>
        <w:rPr>
          <w:rFonts w:ascii="Times New Roman" w:cs="Times New Roman" w:eastAsia="Times New Roman" w:hAnsi="Times New Roman"/>
          <w:sz w:val="16"/>
          <w:szCs w:val="16"/>
          <w:color w:val="231F20"/>
        </w:rPr>
      </w:pPr>
    </w:p>
    <w:p>
      <w:pPr>
        <w:ind w:left="940" w:hanging="30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six months ended </w:t>
      </w:r>
      <w:r>
        <w:rPr>
          <w:rFonts w:ascii="Times New Roman" w:cs="Times New Roman" w:eastAsia="Times New Roman" w:hAnsi="Times New Roman"/>
          <w:sz w:val="18"/>
          <w:szCs w:val="18"/>
          <w:color w:val="231F20"/>
        </w:rPr>
        <w:t>June 30, 2025.</w:t>
      </w:r>
    </w:p>
    <w:p>
      <w:pPr>
        <w:spacing w:after="0" w:line="108" w:lineRule="exact"/>
        <w:rPr>
          <w:rFonts w:ascii="Times New Roman" w:cs="Times New Roman" w:eastAsia="Times New Roman" w:hAnsi="Times New Roman"/>
          <w:sz w:val="18"/>
          <w:szCs w:val="18"/>
          <w:color w:val="auto"/>
        </w:rPr>
      </w:pPr>
    </w:p>
    <w:p>
      <w:pPr>
        <w:jc w:val="both"/>
        <w:ind w:left="960" w:right="20" w:hanging="324"/>
        <w:spacing w:after="0" w:line="256"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income (loss) after non-GAAP reconciling items for the three and six months ended June 30, 2025 and 2024 is calculated using assumed blended tax rates of 27% and 26%, respectively, which represent our expected corporate tax rates, excluding discrete and non-recurring tax items.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0" w:lineRule="exact"/>
        <w:rPr>
          <w:sz w:val="20"/>
          <w:szCs w:val="20"/>
          <w:color w:val="auto"/>
        </w:rPr>
      </w:pPr>
    </w:p>
    <w:p>
      <w:pPr>
        <w:ind w:right="40" w:firstLine="473"/>
        <w:spacing w:after="0" w:line="246"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 and TRA remeasurement expense, as well as the income tax effect of these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that aids in the understanding and evaluation of our results of operations in the same manner as our management and board of directors.</w:t>
      </w:r>
    </w:p>
    <w:p>
      <w:pPr>
        <w:spacing w:after="0" w:line="87"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w:t>
      </w:r>
    </w:p>
    <w:p>
      <w:pPr>
        <w:spacing w:after="0" w:line="84" w:lineRule="exact"/>
        <w:rPr>
          <w:sz w:val="20"/>
          <w:szCs w:val="20"/>
          <w:color w:val="auto"/>
        </w:rPr>
      </w:pPr>
    </w:p>
    <w:p>
      <w:pPr>
        <w:jc w:val="both"/>
        <w:ind w:right="200" w:firstLine="473"/>
        <w:spacing w:after="0" w:line="252"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 share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earnings or losses and are therefore not participating securities. As such, separate presentation of basic and diluted non-GAAP earnings (loss) of Class B common stock under the two-class method has not been presented.</w:t>
      </w:r>
    </w:p>
    <w:p>
      <w:pPr>
        <w:spacing w:after="0" w:line="77" w:lineRule="exact"/>
        <w:rPr>
          <w:sz w:val="20"/>
          <w:szCs w:val="20"/>
          <w:color w:val="auto"/>
        </w:rPr>
      </w:pPr>
    </w:p>
    <w:p>
      <w:pPr>
        <w:jc w:val="both"/>
        <w:ind w:right="220" w:firstLine="473"/>
        <w:spacing w:after="0" w:line="256" w:lineRule="auto"/>
        <w:rPr>
          <w:sz w:val="20"/>
          <w:szCs w:val="20"/>
          <w:color w:val="auto"/>
        </w:rPr>
      </w:pPr>
      <w:r>
        <w:rPr>
          <w:rFonts w:ascii="Times New Roman" w:cs="Times New Roman" w:eastAsia="Times New Roman" w:hAnsi="Times New Roman"/>
          <w:sz w:val="18"/>
          <w:szCs w:val="18"/>
          <w:color w:val="auto"/>
        </w:rPr>
        <w:t>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impact of potentially dilutive securities except in periods in which there is a loss because the inclusion of the potential common shares would have an anti-dilutive effect. Shares of our Class B common stock, restricted stock units ("RSUs") and nonqualified stock options ("NQSOs") are considered potentially dilutive shares of Class A common stock. For the </w:t>
      </w:r>
      <w:r>
        <w:rPr>
          <w:rFonts w:ascii="Times New Roman" w:cs="Times New Roman" w:eastAsia="Times New Roman" w:hAnsi="Times New Roman"/>
          <w:sz w:val="18"/>
          <w:szCs w:val="18"/>
          <w:color w:val="231F20"/>
        </w:rPr>
        <w:t>three and six</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June 30, 2025</w:t>
      </w:r>
      <w:r>
        <w:rPr>
          <w:rFonts w:ascii="Times New Roman" w:cs="Times New Roman" w:eastAsia="Times New Roman" w:hAnsi="Times New Roman"/>
          <w:sz w:val="18"/>
          <w:szCs w:val="18"/>
          <w:color w:val="auto"/>
        </w:rPr>
        <w:t xml:space="preserve">, Class B common stock has been excluded from the computation of diluted earnings (loss) per share of Class A common stock because the effect would have been anti-dilutive under the if-converted method. For the </w:t>
      </w:r>
      <w:r>
        <w:rPr>
          <w:rFonts w:ascii="Times New Roman" w:cs="Times New Roman" w:eastAsia="Times New Roman" w:hAnsi="Times New Roman"/>
          <w:sz w:val="18"/>
          <w:szCs w:val="18"/>
          <w:color w:val="231F20"/>
        </w:rPr>
        <w:t>three and six</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Class B common stock has been excluded from the computation of diluted earnings (loss) per share of Class A common stock because the effect would have been anti-dilutive under the if-converted method.</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6" w:name="page37"/>
    <w:bookmarkEnd w:id="3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231F20"/>
        </w:rPr>
        <w:t>The following tables present the reconciliation of earnings (loss) per share of Class A common stock—basic and diluted to non-GAAP earnings (loss)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per share of Class A common stock—basic and diluted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5"/>
              <w:spacing w:after="0" w:line="13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4"/>
              <w:spacing w:after="0" w:line="132" w:lineRule="exact"/>
              <w:rPr>
                <w:sz w:val="20"/>
                <w:szCs w:val="20"/>
                <w:color w:val="auto"/>
              </w:rPr>
            </w:pPr>
            <w:r>
              <w:rPr>
                <w:rFonts w:ascii="Times New Roman" w:cs="Times New Roman" w:eastAsia="Times New Roman" w:hAnsi="Times New Roman"/>
                <w:sz w:val="14"/>
                <w:szCs w:val="14"/>
                <w:b w:val="1"/>
                <w:bCs w:val="1"/>
                <w:color w:val="auto"/>
                <w:w w:val="98"/>
              </w:rPr>
              <w:t>Non-GAAP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5"/>
              <w:spacing w:after="0" w:line="13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5"/>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14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2"/>
                <w:szCs w:val="12"/>
                <w:color w:val="auto"/>
              </w:rPr>
            </w:pPr>
          </w:p>
        </w:tc>
        <w:tc>
          <w:tcPr>
            <w:tcW w:w="84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2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tcPr>
          <w:p>
            <w:pPr>
              <w:ind w:left="180"/>
              <w:spacing w:after="0" w:line="223"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08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08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w w:val="97"/>
              </w:rPr>
              <w:t>Technology Inc.'s share of non-GAAP pre-tax income</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4080" w:type="dxa"/>
            <w:vAlign w:val="bottom"/>
            <w:shd w:val="clear" w:color="auto" w:fill="CCEEFF"/>
          </w:tcPr>
          <w:p>
            <w:pPr>
              <w:ind w:left="260"/>
              <w:spacing w:after="0" w:line="231"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08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080" w:type="dxa"/>
            <w:vAlign w:val="bottom"/>
            <w:shd w:val="clear" w:color="auto" w:fill="CCEEFF"/>
          </w:tcPr>
          <w:p>
            <w:pPr>
              <w:ind w:left="260"/>
              <w:spacing w:after="0" w:line="237"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8"/>
              </w:rPr>
              <w:t>Net income attributable to Viant Technology Inc.—basic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4080" w:type="dxa"/>
            <w:vAlign w:val="bottom"/>
            <w:shd w:val="clear" w:color="auto" w:fill="CCEEFF"/>
          </w:tcPr>
          <w:p>
            <w:pPr>
              <w:ind w:left="180"/>
              <w:spacing w:after="0" w:line="151" w:lineRule="exact"/>
              <w:rPr>
                <w:sz w:val="20"/>
                <w:szCs w:val="20"/>
                <w:color w:val="auto"/>
              </w:rPr>
            </w:pPr>
            <w:r>
              <w:rPr>
                <w:rFonts w:ascii="Times New Roman" w:cs="Times New Roman" w:eastAsia="Times New Roman" w:hAnsi="Times New Roman"/>
                <w:sz w:val="16"/>
                <w:szCs w:val="16"/>
                <w:color w:val="auto"/>
              </w:rPr>
              <w:t>Add back: Reallocation of net income (loss)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4080" w:type="dxa"/>
            <w:vAlign w:val="bottom"/>
            <w:shd w:val="clear" w:color="auto" w:fill="CCEEFF"/>
          </w:tcPr>
          <w:p>
            <w:pPr>
              <w:ind w:left="260"/>
              <w:spacing w:after="0" w:line="179" w:lineRule="exact"/>
              <w:rPr>
                <w:sz w:val="20"/>
                <w:szCs w:val="20"/>
                <w:color w:val="auto"/>
              </w:rPr>
            </w:pPr>
            <w:r>
              <w:rPr>
                <w:rFonts w:ascii="Times New Roman" w:cs="Times New Roman" w:eastAsia="Times New Roman" w:hAnsi="Times New Roman"/>
                <w:sz w:val="18"/>
                <w:szCs w:val="18"/>
                <w:color w:val="auto"/>
              </w:rPr>
              <w:t>attributable to noncontrolling interest from the</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08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assumed exchange of RSUs and NQSOs for Class A</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08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4080" w:type="dxa"/>
            <w:vAlign w:val="bottom"/>
          </w:tcPr>
          <w:p>
            <w:pPr>
              <w:ind w:left="260"/>
              <w:spacing w:after="0" w:line="179" w:lineRule="exact"/>
              <w:rPr>
                <w:sz w:val="20"/>
                <w:szCs w:val="20"/>
                <w:color w:val="auto"/>
              </w:rPr>
            </w:pPr>
            <w:r>
              <w:rPr>
                <w:rFonts w:ascii="Times New Roman" w:cs="Times New Roman" w:eastAsia="Times New Roman" w:hAnsi="Times New Roman"/>
                <w:sz w:val="18"/>
                <w:szCs w:val="18"/>
                <w:color w:val="auto"/>
              </w:rPr>
              <w:t>exchange of dilutive securities for Class A common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408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Net income attributable to Viant Technology Inc.—</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4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Weighted-average shares of Class A common stock</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80" w:type="dxa"/>
            <w:vAlign w:val="bottom"/>
          </w:tcPr>
          <w:p>
            <w:pPr>
              <w:spacing w:after="0"/>
              <w:rPr>
                <w:sz w:val="10"/>
                <w:szCs w:val="10"/>
                <w:color w:val="auto"/>
              </w:rPr>
            </w:pPr>
          </w:p>
        </w:tc>
        <w:tc>
          <w:tcPr>
            <w:tcW w:w="4080" w:type="dxa"/>
            <w:vAlign w:val="bottom"/>
            <w:vMerge w:val="continue"/>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4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Total shares excluded from earnings (loss) per share of</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gridSpan w:val="3"/>
            <w:vMerge w:val="restart"/>
          </w:tcPr>
          <w:p>
            <w:pPr>
              <w:jc w:val="right"/>
              <w:ind w:right="71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119" w:right="299" w:bottom="1440" w:gutter="0" w:footer="0" w:header="0"/>
        </w:sectPr>
      </w:pPr>
    </w:p>
    <w:bookmarkStart w:id="37" w:name="page38"/>
    <w:bookmarkEnd w:id="37"/>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2" w:lineRule="exact"/>
        <w:rPr>
          <w:sz w:val="20"/>
          <w:szCs w:val="20"/>
          <w:color w:val="auto"/>
        </w:rPr>
      </w:pPr>
    </w:p>
    <w:p>
      <w:pPr>
        <w:ind w:left="324" w:hanging="324"/>
        <w:spacing w:after="0" w:line="268" w:lineRule="auto"/>
        <w:tabs>
          <w:tab w:leader="none" w:pos="318"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Restructuring and other includes severance and other charges related to aligning our workforce with our strategic performance goals for the three months ended June 30, 2024</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231F20"/>
        </w:rPr>
      </w:pPr>
    </w:p>
    <w:p>
      <w:pPr>
        <w:ind w:left="324" w:right="60" w:hanging="324"/>
        <w:spacing w:after="0" w:line="268" w:lineRule="auto"/>
        <w:tabs>
          <w:tab w:leader="none" w:pos="318"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related to our contemplated and completed acquisitions for the three months ended </w:t>
      </w:r>
      <w:r>
        <w:rPr>
          <w:rFonts w:ascii="Times New Roman" w:cs="Times New Roman" w:eastAsia="Times New Roman" w:hAnsi="Times New Roman"/>
          <w:sz w:val="18"/>
          <w:szCs w:val="18"/>
          <w:color w:val="231F20"/>
        </w:rPr>
        <w:t>June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and costs incurred for the Company's filing of a "shelf" registration statement on Form S-3 for </w:t>
      </w:r>
      <w:r>
        <w:rPr>
          <w:rFonts w:ascii="Times New Roman" w:cs="Times New Roman" w:eastAsia="Times New Roman" w:hAnsi="Times New Roman"/>
          <w:sz w:val="18"/>
          <w:szCs w:val="18"/>
          <w:color w:val="000000"/>
        </w:rPr>
        <w:t>the three months ended June 30, 2024.</w:t>
      </w:r>
    </w:p>
    <w:p>
      <w:pPr>
        <w:spacing w:after="0" w:line="63" w:lineRule="exact"/>
        <w:rPr>
          <w:rFonts w:ascii="Times New Roman" w:cs="Times New Roman" w:eastAsia="Times New Roman" w:hAnsi="Times New Roman"/>
          <w:sz w:val="18"/>
          <w:szCs w:val="18"/>
          <w:color w:val="231F20"/>
        </w:rPr>
      </w:pPr>
    </w:p>
    <w:p>
      <w:pPr>
        <w:jc w:val="both"/>
        <w:ind w:left="324" w:right="140" w:hanging="324"/>
        <w:spacing w:after="0" w:line="256" w:lineRule="auto"/>
        <w:tabs>
          <w:tab w:leader="none" w:pos="318"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estimated income tax effect of our share of income (loss) after non-GAAP reconciling items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June 30, 2025 and 2024 is calculated using assumed blended tax rates of 27% and 26%, respectively, which represent our expected corporate tax rates, excluding discrete and non-recurring tax items.</w:t>
      </w:r>
    </w:p>
    <w:p>
      <w:pPr>
        <w:spacing w:after="0" w:line="73" w:lineRule="exact"/>
        <w:rPr>
          <w:rFonts w:ascii="Times New Roman" w:cs="Times New Roman" w:eastAsia="Times New Roman" w:hAnsi="Times New Roman"/>
          <w:sz w:val="18"/>
          <w:szCs w:val="18"/>
          <w:color w:val="231F20"/>
        </w:rPr>
      </w:pPr>
    </w:p>
    <w:p>
      <w:pPr>
        <w:ind w:left="324" w:right="20" w:hanging="324"/>
        <w:spacing w:after="0" w:line="268" w:lineRule="auto"/>
        <w:tabs>
          <w:tab w:leader="none" w:pos="318"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restructuring and other charges and transaction expense attributed to the noncontrolling interests outstanding during the period.</w:t>
      </w:r>
    </w:p>
    <w:p>
      <w:pPr>
        <w:spacing w:after="0" w:line="37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64"/>
          </w:cols>
          <w:pgMar w:left="956" w:top="119" w:right="479" w:bottom="1440" w:gutter="0" w:footer="0" w:header="0"/>
        </w:sectPr>
      </w:pPr>
    </w:p>
    <w:bookmarkStart w:id="38" w:name="page39"/>
    <w:bookmarkEnd w:id="38"/>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5"/>
              <w:spacing w:after="0" w:line="13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line="132"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95"/>
              <w:spacing w:after="0" w:line="13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94"/>
              <w:spacing w:after="0" w:line="132"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3"/>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5"/>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100" w:type="dxa"/>
            <w:vAlign w:val="bottom"/>
            <w:gridSpan w:val="3"/>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2"/>
                <w:szCs w:val="12"/>
                <w:color w:val="auto"/>
              </w:rPr>
            </w:pPr>
          </w:p>
        </w:tc>
        <w:tc>
          <w:tcPr>
            <w:tcW w:w="880" w:type="dxa"/>
            <w:vAlign w:val="bottom"/>
          </w:tcPr>
          <w:p>
            <w:pPr>
              <w:jc w:val="center"/>
              <w:ind w:right="95"/>
              <w:spacing w:after="0" w:line="143"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2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line="223"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Add back: TRA remeasurement expense</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940" w:type="dxa"/>
            <w:vAlign w:val="bottom"/>
          </w:tcPr>
          <w:p>
            <w:pPr>
              <w:ind w:left="160"/>
              <w:spacing w:after="0" w:line="171"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CCEEFF"/>
            </w:tcBorders>
          </w:tcPr>
          <w:p>
            <w:pPr>
              <w:ind w:left="240"/>
              <w:spacing w:after="0" w:line="231"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2"/>
                <w:szCs w:val="22"/>
                <w:color w:val="auto"/>
                <w:vertAlign w:val="superscript"/>
              </w:rPr>
              <w:t>(4)</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171"/>
        </w:trPr>
        <w:tc>
          <w:tcPr>
            <w:tcW w:w="3940" w:type="dxa"/>
            <w:vAlign w:val="bottom"/>
          </w:tcPr>
          <w:p>
            <w:pPr>
              <w:ind w:left="160"/>
              <w:spacing w:after="0" w:line="171"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tcPr>
          <w:p>
            <w:pPr>
              <w:ind w:left="240"/>
              <w:spacing w:after="0" w:line="237" w:lineRule="exact"/>
              <w:rPr>
                <w:sz w:val="20"/>
                <w:szCs w:val="20"/>
                <w:color w:val="auto"/>
              </w:rPr>
            </w:pPr>
            <w:r>
              <w:rPr>
                <w:rFonts w:ascii="Times New Roman" w:cs="Times New Roman" w:eastAsia="Times New Roman" w:hAnsi="Times New Roman"/>
                <w:sz w:val="18"/>
                <w:szCs w:val="18"/>
                <w:color w:val="auto"/>
              </w:rPr>
              <w:t>noncontrolling interests</w:t>
            </w:r>
            <w:r>
              <w:rPr>
                <w:rFonts w:ascii="Times New Roman" w:cs="Times New Roman" w:eastAsia="Times New Roman" w:hAnsi="Times New Roman"/>
                <w:sz w:val="22"/>
                <w:szCs w:val="22"/>
                <w:color w:val="auto"/>
                <w:vertAlign w:val="superscript"/>
              </w:rPr>
              <w:t>(5)</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0" w:type="dxa"/>
            <w:vAlign w:val="bottom"/>
          </w:tcPr>
          <w:p>
            <w:pPr>
              <w:spacing w:after="0"/>
              <w:rPr>
                <w:sz w:val="1"/>
                <w:szCs w:val="1"/>
                <w:color w:val="auto"/>
              </w:rPr>
            </w:pPr>
          </w:p>
        </w:tc>
      </w:tr>
      <w:tr>
        <w:trPr>
          <w:trHeight w:val="151"/>
        </w:trPr>
        <w:tc>
          <w:tcPr>
            <w:tcW w:w="39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Net income (loss) attributable to Viant Technology Inc.</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151"/>
        </w:trPr>
        <w:tc>
          <w:tcPr>
            <w:tcW w:w="3940" w:type="dxa"/>
            <w:vAlign w:val="bottom"/>
          </w:tcPr>
          <w:p>
            <w:pPr>
              <w:ind w:left="160"/>
              <w:spacing w:after="0" w:line="151" w:lineRule="exact"/>
              <w:rPr>
                <w:sz w:val="20"/>
                <w:szCs w:val="20"/>
                <w:color w:val="auto"/>
              </w:rPr>
            </w:pPr>
            <w:r>
              <w:rPr>
                <w:rFonts w:ascii="Times New Roman" w:cs="Times New Roman" w:eastAsia="Times New Roman" w:hAnsi="Times New Roman"/>
                <w:sz w:val="16"/>
                <w:szCs w:val="16"/>
                <w:color w:val="auto"/>
              </w:rPr>
              <w:t>Add back: Reallocation of net income (loss)</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94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attributable to noncontrolling interest from the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assumed exchange of RSUs and NQSOs for Class</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common stock</w:t>
            </w: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94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w w:val="98"/>
              </w:rPr>
              <w:t>exchange of dilutive securities for Class A common</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51"/>
        </w:trPr>
        <w:tc>
          <w:tcPr>
            <w:tcW w:w="394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Net income (loss) attributable to Viant Technology Inc.</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—basic</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151"/>
        </w:trPr>
        <w:tc>
          <w:tcPr>
            <w:tcW w:w="394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Weighted-average shares of Class A common stock</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0" w:type="dxa"/>
            <w:vAlign w:val="bottom"/>
          </w:tcPr>
          <w:p>
            <w:pPr>
              <w:spacing w:after="0"/>
              <w:rPr>
                <w:sz w:val="1"/>
                <w:szCs w:val="1"/>
                <w:color w:val="auto"/>
              </w:rPr>
            </w:pPr>
          </w:p>
        </w:tc>
      </w:tr>
      <w:tr>
        <w:trPr>
          <w:trHeight w:val="210"/>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—diluted</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51"/>
        </w:trPr>
        <w:tc>
          <w:tcPr>
            <w:tcW w:w="394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Earnings (loss) per share of Class A common stock—</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0" w:type="dxa"/>
            <w:vAlign w:val="bottom"/>
          </w:tcPr>
          <w:p>
            <w:pPr>
              <w:spacing w:after="0"/>
              <w:rPr>
                <w:sz w:val="1"/>
                <w:szCs w:val="1"/>
                <w:color w:val="auto"/>
              </w:rPr>
            </w:pPr>
          </w:p>
        </w:tc>
      </w:tr>
      <w:tr>
        <w:trPr>
          <w:trHeight w:val="151"/>
        </w:trPr>
        <w:tc>
          <w:tcPr>
            <w:tcW w:w="39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Total shares excluded from earnings (loss) per share of</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580" w:hanging="324"/>
        <w:spacing w:after="0" w:line="268" w:lineRule="auto"/>
        <w:tabs>
          <w:tab w:leader="none" w:pos="574"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2024</w:t>
      </w:r>
      <w:r>
        <w:rPr>
          <w:rFonts w:ascii="Times New Roman" w:cs="Times New Roman" w:eastAsia="Times New Roman" w:hAnsi="Times New Roman"/>
          <w:sz w:val="18"/>
          <w:szCs w:val="18"/>
          <w:color w:val="000000"/>
        </w:rPr>
        <w:t>.</w:t>
      </w:r>
    </w:p>
    <w:p>
      <w:pPr>
        <w:spacing w:after="0" w:line="37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80"/>
          </w:cols>
          <w:pgMar w:left="700" w:top="119" w:right="619" w:bottom="1440" w:gutter="0" w:footer="0" w:header="0"/>
        </w:sectPr>
      </w:pPr>
    </w:p>
    <w:bookmarkStart w:id="39" w:name="page40"/>
    <w:bookmarkEnd w:id="3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left="960" w:right="20" w:hanging="324"/>
        <w:spacing w:after="0" w:line="268" w:lineRule="auto"/>
        <w:tabs>
          <w:tab w:leader="none" w:pos="954"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related to our contemplated and completed acquisitions for the six months ended </w:t>
      </w:r>
      <w:r>
        <w:rPr>
          <w:rFonts w:ascii="Times New Roman" w:cs="Times New Roman" w:eastAsia="Times New Roman" w:hAnsi="Times New Roman"/>
          <w:sz w:val="18"/>
          <w:szCs w:val="18"/>
          <w:color w:val="231F20"/>
        </w:rPr>
        <w:t>June 30, 2025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costs incurred for the Company's filing of a "shelf" registration statement on Form S-3 for </w:t>
      </w:r>
      <w:r>
        <w:rPr>
          <w:rFonts w:ascii="Times New Roman" w:cs="Times New Roman" w:eastAsia="Times New Roman" w:hAnsi="Times New Roman"/>
          <w:sz w:val="18"/>
          <w:szCs w:val="18"/>
          <w:color w:val="000000"/>
        </w:rPr>
        <w:t>the six months ended June 30, 2024.</w:t>
      </w:r>
    </w:p>
    <w:p>
      <w:pPr>
        <w:spacing w:after="0" w:line="63" w:lineRule="exact"/>
        <w:rPr>
          <w:rFonts w:ascii="Times New Roman" w:cs="Times New Roman" w:eastAsia="Times New Roman" w:hAnsi="Times New Roman"/>
          <w:sz w:val="18"/>
          <w:szCs w:val="18"/>
          <w:color w:val="231F20"/>
        </w:rPr>
      </w:pPr>
    </w:p>
    <w:p>
      <w:pPr>
        <w:ind w:left="940" w:hanging="30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six months ended </w:t>
      </w:r>
      <w:r>
        <w:rPr>
          <w:rFonts w:ascii="Times New Roman" w:cs="Times New Roman" w:eastAsia="Times New Roman" w:hAnsi="Times New Roman"/>
          <w:sz w:val="18"/>
          <w:szCs w:val="18"/>
          <w:color w:val="231F20"/>
        </w:rPr>
        <w:t>June 30, 2025.</w:t>
      </w:r>
    </w:p>
    <w:p>
      <w:pPr>
        <w:spacing w:after="0" w:line="108" w:lineRule="exact"/>
        <w:rPr>
          <w:rFonts w:ascii="Times New Roman" w:cs="Times New Roman" w:eastAsia="Times New Roman" w:hAnsi="Times New Roman"/>
          <w:sz w:val="18"/>
          <w:szCs w:val="18"/>
          <w:color w:val="auto"/>
        </w:rPr>
      </w:pPr>
    </w:p>
    <w:p>
      <w:pPr>
        <w:ind w:left="960" w:right="20" w:hanging="324"/>
        <w:spacing w:after="0" w:line="256" w:lineRule="auto"/>
        <w:tabs>
          <w:tab w:leader="none" w:pos="954"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estimated income tax effect of our share of income (loss) after non-GAAP reconciling items for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June 30, 2025 and 2024 is calculated using assumed blended tax rates of 27% and 26%, respectively, which represent our expected corporate tax rates, excluding discrete and non-recurring tax items.</w:t>
      </w:r>
    </w:p>
    <w:p>
      <w:pPr>
        <w:spacing w:after="0" w:line="73" w:lineRule="exact"/>
        <w:rPr>
          <w:rFonts w:ascii="Times New Roman" w:cs="Times New Roman" w:eastAsia="Times New Roman" w:hAnsi="Times New Roman"/>
          <w:sz w:val="18"/>
          <w:szCs w:val="18"/>
          <w:color w:val="231F20"/>
        </w:rPr>
      </w:pPr>
    </w:p>
    <w:p>
      <w:pPr>
        <w:ind w:left="960" w:right="100" w:hanging="324"/>
        <w:spacing w:after="0" w:line="268" w:lineRule="auto"/>
        <w:tabs>
          <w:tab w:leader="none" w:pos="954"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restructuring and other charges, and transaction expense attributed to the noncontrolling interests outstanding during the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0" w:lineRule="exact"/>
        <w:rPr>
          <w:sz w:val="20"/>
          <w:szCs w:val="20"/>
          <w:color w:val="auto"/>
        </w:rPr>
      </w:pPr>
    </w:p>
    <w:p>
      <w:pPr>
        <w:ind w:right="440" w:firstLine="473"/>
        <w:spacing w:after="0" w:line="331" w:lineRule="auto"/>
        <w:rPr>
          <w:sz w:val="20"/>
          <w:szCs w:val="20"/>
          <w:color w:val="auto"/>
        </w:rPr>
      </w:pPr>
      <w:r>
        <w:rPr>
          <w:rFonts w:ascii="Times New Roman" w:cs="Times New Roman" w:eastAsia="Times New Roman" w:hAnsi="Times New Roman"/>
          <w:sz w:val="16"/>
          <w:szCs w:val="16"/>
          <w:color w:val="auto"/>
        </w:rPr>
        <w:t xml:space="preserve">As of June 30, 2025, we had cash and cash equivalents of $172.8 million and working capital, consisting of current assets less current liabilities, of $192.4 million, compared to cash and cash equivalents of $205.0 million and working capital of $217.0 million as of </w:t>
      </w:r>
      <w:r>
        <w:rPr>
          <w:rFonts w:ascii="Times New Roman" w:cs="Times New Roman" w:eastAsia="Times New Roman" w:hAnsi="Times New Roman"/>
          <w:sz w:val="16"/>
          <w:szCs w:val="16"/>
          <w:color w:val="231F20"/>
        </w:rPr>
        <w:t>December 31, 2024</w:t>
      </w:r>
      <w:r>
        <w:rPr>
          <w:rFonts w:ascii="Times New Roman" w:cs="Times New Roman" w:eastAsia="Times New Roman" w:hAnsi="Times New Roman"/>
          <w:sz w:val="16"/>
          <w:szCs w:val="16"/>
          <w:color w:val="auto"/>
        </w:rPr>
        <w:t>.</w:t>
      </w:r>
    </w:p>
    <w:p>
      <w:pPr>
        <w:spacing w:after="0" w:line="18"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7" w:lineRule="exact"/>
        <w:rPr>
          <w:sz w:val="20"/>
          <w:szCs w:val="20"/>
          <w:color w:val="auto"/>
        </w:rPr>
      </w:pPr>
    </w:p>
    <w:p>
      <w:pPr>
        <w:ind w:right="80" w:firstLine="473"/>
        <w:spacing w:after="0" w:line="249" w:lineRule="auto"/>
        <w:rPr>
          <w:sz w:val="20"/>
          <w:szCs w:val="20"/>
          <w:color w:val="auto"/>
        </w:rPr>
      </w:pPr>
      <w:r>
        <w:rPr>
          <w:rFonts w:ascii="Times New Roman" w:cs="Times New Roman" w:eastAsia="Times New Roman" w:hAnsi="Times New Roman"/>
          <w:sz w:val="18"/>
          <w:szCs w:val="18"/>
          <w:color w:val="auto"/>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future minimum payments under our non-cancelable operating leases; repurchases under the stock repurchase program; and acquisitions and investments. We intend to continue investing in critical areas of our business for the remainder of 2025 to further accelerate demand for our product and growth across the platform.</w:t>
      </w:r>
    </w:p>
    <w:p>
      <w:pPr>
        <w:spacing w:after="0" w:line="83"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from the date of this report. We believe we will meet longer-term expected future cash requirements and obligations beyond the next 12 months through a combination of existing cash and cash equivalents, cash flow from operations,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2" w:lineRule="exact"/>
        <w:rPr>
          <w:sz w:val="20"/>
          <w:szCs w:val="20"/>
          <w:color w:val="auto"/>
        </w:rPr>
      </w:pPr>
    </w:p>
    <w:p>
      <w:pPr>
        <w:ind w:right="60" w:firstLine="473"/>
        <w:spacing w:after="0" w:line="249" w:lineRule="auto"/>
        <w:rPr>
          <w:sz w:val="20"/>
          <w:szCs w:val="20"/>
          <w:color w:val="auto"/>
        </w:rPr>
      </w:pPr>
      <w:r>
        <w:rPr>
          <w:rFonts w:ascii="Times New Roman" w:cs="Times New Roman" w:eastAsia="Times New Roman" w:hAnsi="Times New Roman"/>
          <w:sz w:val="18"/>
          <w:szCs w:val="18"/>
          <w:color w:val="auto"/>
        </w:rPr>
        <w:t>As of June 30, 2025, our material cash requirements from non-cancelable contractual obligations with an original duration of over one year included future minimum payments under our non-cancelable operating leases, which we estimate will be approximately $2.8 million for the remainder of 2025, $5.5 million in 2026, $5.4 million in 2027, $4.1 million in 2028, and $3.6 million in 2029, and non-cancelable contractual agreements primarily related to the hosting of our data storage processing, storage, and other computing services, which we estimate will be approximately $7.8 million for the remainder of 2025, $15.2 million in 2026, $10.6 million in 2027, and $2.1 million in 2028.</w:t>
      </w:r>
    </w:p>
    <w:p>
      <w:pPr>
        <w:spacing w:after="0" w:line="83" w:lineRule="exact"/>
        <w:rPr>
          <w:sz w:val="20"/>
          <w:szCs w:val="20"/>
          <w:color w:val="auto"/>
        </w:rPr>
      </w:pPr>
    </w:p>
    <w:p>
      <w:pPr>
        <w:ind w:right="60" w:firstLine="473"/>
        <w:spacing w:after="0" w:line="256"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June 30, 2025 other than the minimum payments under the operating leases, hosting arrangements and the indemnification agreements described above and in Note 13—Commitments and Contingencies to our unaudited condensed consolidated financial statements included elsewhere in this Quarterly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Tax Receivable Agreement</w:t>
      </w:r>
    </w:p>
    <w:p>
      <w:pPr>
        <w:spacing w:after="0" w:line="112"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In connection with the initial public offering ("IPO"), we entered into a TRA with Viant Technology LLC, continuing members of Viant Technology LLC and the TRA Representative (as defined in the TRA) on February 9, 2021, as described under Note 10—Income Taxes and Tax Receivable Agreement to our unaudited condensed consolidated financial statements included elsewhere in this Quarterly Report. As of June 30, 2025, we concluded that it was not more likely than not that our deferred tax assets subject to the TRA will be realized. Therefore, we have not recorded a liability related to the remaining tax savings we may realize from utilization of such deferred tax assets except for $0.3 million related to the current portion of the TRA. The total unrecorded liability for the TRA</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0" w:name="page41"/>
    <w:bookmarkEnd w:id="4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is approximately $10.8 million as of June 30, 2025. If utilization of the deferred tax assets subject to the TRA becomes more likely than not in the future, we will record a liability related to the TRA.</w:t>
      </w:r>
    </w:p>
    <w:p>
      <w:pPr>
        <w:spacing w:after="0" w:line="63" w:lineRule="exact"/>
        <w:rPr>
          <w:sz w:val="20"/>
          <w:szCs w:val="20"/>
          <w:color w:val="auto"/>
        </w:rPr>
      </w:pPr>
    </w:p>
    <w:p>
      <w:pPr>
        <w:jc w:val="both"/>
        <w:ind w:right="180" w:firstLine="473"/>
        <w:spacing w:after="0" w:line="256" w:lineRule="auto"/>
        <w:rPr>
          <w:sz w:val="20"/>
          <w:szCs w:val="20"/>
          <w:color w:val="auto"/>
        </w:rPr>
      </w:pPr>
      <w:r>
        <w:rPr>
          <w:rFonts w:ascii="Times New Roman" w:cs="Times New Roman" w:eastAsia="Times New Roman" w:hAnsi="Times New Roman"/>
          <w:sz w:val="18"/>
          <w:szCs w:val="18"/>
          <w:color w:val="auto"/>
        </w:rPr>
        <w:t>From time to time, our subsidiary, Viant Technology LLC, makes cash distributions on a pro rata basis to its members as necessary and to the extent of available cash necessary to cover the members’ tax liabilities with respect to their share of earnings of Viant Technology LLC. These payments are reflected within “Payment of member tax distributions” on the condensed consolidated statements of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12"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2" w:lineRule="exact"/>
        <w:rPr>
          <w:sz w:val="20"/>
          <w:szCs w:val="20"/>
          <w:color w:val="auto"/>
        </w:rPr>
      </w:pPr>
    </w:p>
    <w:p>
      <w:pPr>
        <w:ind w:right="20" w:firstLine="473"/>
        <w:spacing w:after="0" w:line="283" w:lineRule="auto"/>
        <w:rPr>
          <w:sz w:val="20"/>
          <w:szCs w:val="20"/>
          <w:color w:val="auto"/>
        </w:rPr>
      </w:pPr>
      <w:r>
        <w:rPr>
          <w:rFonts w:ascii="Times New Roman" w:cs="Times New Roman" w:eastAsia="Times New Roman" w:hAnsi="Times New Roman"/>
          <w:sz w:val="16"/>
          <w:szCs w:val="16"/>
          <w:color w:val="auto"/>
        </w:rPr>
        <w:t xml:space="preserve">On April 23, 2024, our board of directors approved a stock repurchase program with authorization to purchase up to $50 million in shares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During the </w:t>
      </w:r>
      <w:r>
        <w:rPr>
          <w:rFonts w:ascii="Times New Roman" w:cs="Times New Roman" w:eastAsia="Times New Roman" w:hAnsi="Times New Roman"/>
          <w:sz w:val="16"/>
          <w:szCs w:val="16"/>
          <w:color w:val="231F20"/>
        </w:rPr>
        <w:t>three and six</w:t>
      </w:r>
      <w:r>
        <w:rPr>
          <w:rFonts w:ascii="Times New Roman" w:cs="Times New Roman" w:eastAsia="Times New Roman" w:hAnsi="Times New Roman"/>
          <w:sz w:val="16"/>
          <w:szCs w:val="16"/>
          <w:color w:val="auto"/>
        </w:rPr>
        <w:t xml:space="preserve"> months ended June 30, 2025, we repurchased 0.8 million and 2.0 million shares of our Class A common stock, respectively, for an aggregate amount of $10.6 million and $28.0 million, respectively, including costs associated with the repurchases. As of June 30, 2025, $50.4 million remained available under the stock repurchase program for Class A common stock and Class B unit repurchases. For additional information related to share repurchases, refer to Note 9—Stockholders' Equity to our unaudited condensed consolidated financial statements included elsewhere in this Quarterly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12" w:lineRule="exact"/>
        <w:rPr>
          <w:sz w:val="20"/>
          <w:szCs w:val="20"/>
          <w:color w:val="auto"/>
        </w:rPr>
      </w:pPr>
    </w:p>
    <w:p>
      <w:pPr>
        <w:ind w:right="200" w:firstLine="473"/>
        <w:spacing w:after="0" w:line="256" w:lineRule="auto"/>
        <w:rPr>
          <w:sz w:val="20"/>
          <w:szCs w:val="20"/>
          <w:color w:val="auto"/>
        </w:rPr>
      </w:pPr>
      <w:r>
        <w:rPr>
          <w:rFonts w:ascii="Times New Roman" w:cs="Times New Roman" w:eastAsia="Times New Roman" w:hAnsi="Times New Roman"/>
          <w:sz w:val="18"/>
          <w:szCs w:val="18"/>
          <w:color w:val="auto"/>
        </w:rPr>
        <w:t>As of June 30, 2025, our Amended Loan Agreement provided us with access to a $75.0 million senior secured revolving credit facility with a maturity date of April 4, 2028 that is collateralized by security interests in substantially all of our assets. As of June 30, 2025 and December 31, 2024, there was no outstanding balance and up to $74.1 million of undrawn availability under the revolving credit facility.</w:t>
      </w:r>
    </w:p>
    <w:p>
      <w:pPr>
        <w:spacing w:after="0" w:line="74"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June 30, 2025, the Company was in compliance with all applicable covenants under the Amended Loan Agreement. We do not believe this covenant or any other provision in the Amended Loan Agreement will materially impact our liquidity or otherwise restrict our ability to execute on our business plan during or beyond the next 12 months from the date of this report.</w:t>
      </w:r>
    </w:p>
    <w:p>
      <w:pPr>
        <w:spacing w:after="0" w:line="83" w:lineRule="exact"/>
        <w:rPr>
          <w:sz w:val="20"/>
          <w:szCs w:val="20"/>
          <w:color w:val="auto"/>
        </w:rPr>
      </w:pPr>
    </w:p>
    <w:p>
      <w:pPr>
        <w:ind w:right="60" w:firstLine="473"/>
        <w:spacing w:after="0" w:line="256"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74" w:lineRule="exact"/>
        <w:rPr>
          <w:sz w:val="20"/>
          <w:szCs w:val="20"/>
          <w:color w:val="auto"/>
        </w:rPr>
      </w:pPr>
    </w:p>
    <w:p>
      <w:pPr>
        <w:ind w:right="140" w:firstLine="473"/>
        <w:spacing w:after="0" w:line="268"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unaudited condensed consolidated financial statements included elsewhere in this Quarterly Report</w:t>
      </w:r>
      <w:r>
        <w:rPr>
          <w:rFonts w:ascii="Times New Roman" w:cs="Times New Roman" w:eastAsia="Times New Roman" w:hAnsi="Times New Roman"/>
          <w:sz w:val="18"/>
          <w:szCs w:val="18"/>
          <w:color w:val="231F20"/>
        </w:rPr>
        <w:t>.</w:t>
      </w:r>
    </w:p>
    <w:p>
      <w:pPr>
        <w:spacing w:after="0" w:line="37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1" w:name="page42"/>
    <w:bookmarkEnd w:id="4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10" w:lineRule="exact"/>
        <w:rPr>
          <w:sz w:val="20"/>
          <w:szCs w:val="20"/>
          <w:color w:val="auto"/>
        </w:rPr>
      </w:pPr>
    </w:p>
    <w:p>
      <w:pPr>
        <w:ind w:right="200" w:firstLine="473"/>
        <w:spacing w:after="0" w:line="268"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the unaudited consolidated statements of cash flows included in Item 1 of this Quarterly Report, are summarized in the following table for the periods presented:</w:t>
      </w:r>
    </w:p>
    <w:p>
      <w:pPr>
        <w:spacing w:after="0" w:line="8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7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74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6"/>
              </w:rPr>
              <w:t>16,482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18,207</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7"/>
              </w:rPr>
              <w:t>(12,566)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r>
      <w:tr>
        <w:trPr>
          <w:trHeight w:val="223"/>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7"/>
              </w:rPr>
              <w:t>(36,148)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(16,163)</w:t>
            </w:r>
          </w:p>
        </w:tc>
      </w:tr>
      <w:tr>
        <w:trPr>
          <w:trHeight w:val="242"/>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7"/>
              </w:rPr>
              <w:t>(32,232)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Operating Activities</w:t>
      </w:r>
    </w:p>
    <w:p>
      <w:pPr>
        <w:spacing w:after="0" w:line="110"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84" w:lineRule="exact"/>
        <w:rPr>
          <w:sz w:val="20"/>
          <w:szCs w:val="20"/>
          <w:color w:val="auto"/>
        </w:rPr>
      </w:pPr>
    </w:p>
    <w:p>
      <w:pPr>
        <w:ind w:right="100" w:firstLine="473"/>
        <w:spacing w:after="0" w:line="249" w:lineRule="auto"/>
        <w:rPr>
          <w:sz w:val="20"/>
          <w:szCs w:val="20"/>
          <w:color w:val="auto"/>
        </w:rPr>
      </w:pPr>
      <w:r>
        <w:rPr>
          <w:rFonts w:ascii="Times New Roman" w:cs="Times New Roman" w:eastAsia="Times New Roman" w:hAnsi="Times New Roman"/>
          <w:sz w:val="18"/>
          <w:szCs w:val="18"/>
          <w:color w:val="auto"/>
        </w:rPr>
        <w:t xml:space="preserve">Cash flows provided by operating activities was $16.5 million for the six months ended June 30, 2025, resulting primarily from net loss of </w:t>
      </w:r>
      <w:r>
        <w:rPr>
          <w:rFonts w:ascii="Times New Roman" w:cs="Times New Roman" w:eastAsia="Times New Roman" w:hAnsi="Times New Roman"/>
          <w:sz w:val="18"/>
          <w:szCs w:val="18"/>
          <w:color w:val="231F20"/>
        </w:rPr>
        <w:t>$1.5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noncash add back adjustments to net loss of $23.4 million, including $12.0 million for stock-based compensation, $8.9 million for depreciation and amortization and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xml:space="preserve"> million for noncash lease expense; and a decrease of $5.4 million from changes in working capital, primarily including a net increase of $14.2 million in accounts receivable, prepaid assets and other assets related to higher sales and timing of customer collections due to seasonal fluctuations, as well as a net decrease of $15.5 million in accounts payable, accrued liabilities and accrued compensation related to timing of payments.</w:t>
      </w:r>
    </w:p>
    <w:p>
      <w:pPr>
        <w:spacing w:after="0" w:line="83" w:lineRule="exact"/>
        <w:rPr>
          <w:sz w:val="20"/>
          <w:szCs w:val="20"/>
          <w:color w:val="auto"/>
        </w:rPr>
      </w:pPr>
    </w:p>
    <w:p>
      <w:pPr>
        <w:ind w:right="80" w:firstLine="473"/>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2024, cash flows provided by operating activities of $18.2 million resulted primarily from net loss of $1.7 million offset by noncash add back adjustments to net loss of $20.2 million primarily comprised of $10.0 million for stock-based compensation, $8.3 million for depreciation and amortization and $1.9 million for noncash lease expense as well as an increase from changes in working capital (excluding deferred revenue, operating lease liabilities and other liabilities) of $2.1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0" w:lineRule="exact"/>
        <w:rPr>
          <w:sz w:val="20"/>
          <w:szCs w:val="20"/>
          <w:color w:val="auto"/>
        </w:rPr>
      </w:pPr>
    </w:p>
    <w:p>
      <w:pPr>
        <w:ind w:right="160" w:firstLine="473"/>
        <w:spacing w:after="0" w:line="283" w:lineRule="auto"/>
        <w:rPr>
          <w:sz w:val="20"/>
          <w:szCs w:val="20"/>
          <w:color w:val="auto"/>
        </w:rPr>
      </w:pPr>
      <w:r>
        <w:rPr>
          <w:rFonts w:ascii="Times New Roman" w:cs="Times New Roman" w:eastAsia="Times New Roman" w:hAnsi="Times New Roman"/>
          <w:sz w:val="16"/>
          <w:szCs w:val="16"/>
          <w:color w:val="auto"/>
        </w:rPr>
        <w:t>Our primary investing activities have consisted of capital expenditures to develop our technology in support of enhancing our platform, cash paid for acquisitions and investments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capitalization of stock-based compensation in future periods and the growth of our business, we expect our capital expenditures and our investment activity to continue to increase.</w:t>
      </w:r>
    </w:p>
    <w:p>
      <w:pPr>
        <w:spacing w:after="0" w:line="59"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 xml:space="preserve">Cash flows used in investing activities was $12.6 million for the six months ended June 30, 2025, resulting primarily from $7.9 million of investments in capitalized software to develop our technology in support of enhancing our platform, $3.5 million of cash paid for investments, $0.5 million of cash paid for acquisitions and </w:t>
      </w:r>
      <w:r>
        <w:rPr>
          <w:rFonts w:ascii="Times New Roman" w:cs="Times New Roman" w:eastAsia="Times New Roman" w:hAnsi="Times New Roman"/>
          <w:sz w:val="18"/>
          <w:szCs w:val="18"/>
          <w:color w:val="231F20"/>
        </w:rPr>
        <w:t>$0.6 million of purchases of property and equipment.</w:t>
      </w:r>
    </w:p>
    <w:p>
      <w:pPr>
        <w:spacing w:after="0" w:line="74" w:lineRule="exact"/>
        <w:rPr>
          <w:sz w:val="20"/>
          <w:szCs w:val="20"/>
          <w:color w:val="auto"/>
        </w:rPr>
      </w:pPr>
    </w:p>
    <w:p>
      <w:pPr>
        <w:ind w:right="740" w:firstLine="473"/>
        <w:spacing w:after="0" w:line="268"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31F20"/>
        </w:rPr>
        <w:t xml:space="preserve">, cash flows used in investing activities of </w:t>
      </w:r>
      <w:r>
        <w:rPr>
          <w:rFonts w:ascii="Times New Roman" w:cs="Times New Roman" w:eastAsia="Times New Roman" w:hAnsi="Times New Roman"/>
          <w:sz w:val="18"/>
          <w:szCs w:val="18"/>
          <w:color w:val="000000"/>
        </w:rPr>
        <w:t>$8.8</w:t>
      </w:r>
      <w:r>
        <w:rPr>
          <w:rFonts w:ascii="Times New Roman" w:cs="Times New Roman" w:eastAsia="Times New Roman" w:hAnsi="Times New Roman"/>
          <w:sz w:val="18"/>
          <w:szCs w:val="18"/>
          <w:color w:val="231F20"/>
        </w:rPr>
        <w:t xml:space="preserve"> million resulted from </w:t>
      </w:r>
      <w:r>
        <w:rPr>
          <w:rFonts w:ascii="Times New Roman" w:cs="Times New Roman" w:eastAsia="Times New Roman" w:hAnsi="Times New Roman"/>
          <w:sz w:val="18"/>
          <w:szCs w:val="18"/>
          <w:color w:val="000000"/>
        </w:rPr>
        <w:t>$7.3</w:t>
      </w:r>
      <w:r>
        <w:rPr>
          <w:rFonts w:ascii="Times New Roman" w:cs="Times New Roman" w:eastAsia="Times New Roman" w:hAnsi="Times New Roman"/>
          <w:sz w:val="18"/>
          <w:szCs w:val="18"/>
          <w:color w:val="231F20"/>
        </w:rPr>
        <w:t xml:space="preserve"> million of investments in capitalized software development costs and </w:t>
      </w:r>
      <w:r>
        <w:rPr>
          <w:rFonts w:ascii="Times New Roman" w:cs="Times New Roman" w:eastAsia="Times New Roman" w:hAnsi="Times New Roman"/>
          <w:sz w:val="18"/>
          <w:szCs w:val="18"/>
          <w:color w:val="000000"/>
        </w:rPr>
        <w:t>$1.5</w:t>
      </w:r>
      <w:r>
        <w:rPr>
          <w:rFonts w:ascii="Times New Roman" w:cs="Times New Roman" w:eastAsia="Times New Roman" w:hAnsi="Times New Roman"/>
          <w:sz w:val="18"/>
          <w:szCs w:val="18"/>
          <w:color w:val="231F20"/>
        </w:rPr>
        <w:t xml:space="preserve"> million of purchases of property and equipment.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Financing Activities</w:t>
      </w:r>
    </w:p>
    <w:p>
      <w:pPr>
        <w:spacing w:after="0" w:line="110"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Our financing activities have consisted primarily of issuances of our equity and payments of member distributions in accordance with their assumed tax liabilities, repurchases of stock in connection with the taxes paid related to the vesting of equity awards and repurchases of stock related to the stock repurchase program. Historical financing activities have also included proceeds from borrowings and repayments of debt. Net cash provided by or used in financing activities has been and will be used to finance our operations, capital expenditures, platform development and growth.</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2" w:name="page43"/>
    <w:bookmarkEnd w:id="4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27" w:lineRule="exact"/>
        <w:rPr>
          <w:sz w:val="20"/>
          <w:szCs w:val="20"/>
          <w:color w:val="auto"/>
        </w:rPr>
      </w:pPr>
    </w:p>
    <w:p>
      <w:pPr>
        <w:ind w:right="140" w:firstLine="473"/>
        <w:spacing w:after="0" w:line="252" w:lineRule="auto"/>
        <w:rPr>
          <w:sz w:val="20"/>
          <w:szCs w:val="20"/>
          <w:color w:val="auto"/>
        </w:rPr>
      </w:pPr>
      <w:r>
        <w:rPr>
          <w:rFonts w:ascii="Times New Roman" w:cs="Times New Roman" w:eastAsia="Times New Roman" w:hAnsi="Times New Roman"/>
          <w:sz w:val="18"/>
          <w:szCs w:val="18"/>
          <w:color w:val="auto"/>
        </w:rPr>
        <w:t xml:space="preserve">Cash flows used in financing activities was $36.1 million for the six months ended June 30, 2025, resulting primarily from $28.1 </w:t>
      </w:r>
      <w:r>
        <w:rPr>
          <w:rFonts w:ascii="Times New Roman" w:cs="Times New Roman" w:eastAsia="Times New Roman" w:hAnsi="Times New Roman"/>
          <w:sz w:val="18"/>
          <w:szCs w:val="18"/>
          <w:color w:val="231F20"/>
        </w:rPr>
        <w:t>million for the</w:t>
      </w:r>
      <w:r>
        <w:rPr>
          <w:rFonts w:ascii="Times New Roman" w:cs="Times New Roman" w:eastAsia="Times New Roman" w:hAnsi="Times New Roman"/>
          <w:sz w:val="18"/>
          <w:szCs w:val="18"/>
          <w:color w:val="auto"/>
        </w:rPr>
        <w:t xml:space="preserve"> repurchase of stock related to the stock repurchase program, </w:t>
      </w:r>
      <w:r>
        <w:rPr>
          <w:rFonts w:ascii="Times New Roman" w:cs="Times New Roman" w:eastAsia="Times New Roman" w:hAnsi="Times New Roman"/>
          <w:sz w:val="18"/>
          <w:szCs w:val="18"/>
          <w:color w:val="231F20"/>
        </w:rPr>
        <w:t>$3.2 million for the repurchase of stock in connection with the taxes paid related to the vesting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equity award</w:t>
      </w:r>
      <w:r>
        <w:rPr>
          <w:rFonts w:ascii="Times New Roman" w:cs="Times New Roman" w:eastAsia="Times New Roman" w:hAnsi="Times New Roman"/>
          <w:sz w:val="18"/>
          <w:szCs w:val="18"/>
          <w:color w:val="000000"/>
        </w:rPr>
        <w:t>s and $6.6 million for payments related to member tax distributions, partially offset by $1.8 million of proceeds related to the exercise of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options.</w:t>
      </w:r>
    </w:p>
    <w:p>
      <w:pPr>
        <w:spacing w:after="0" w:line="77" w:lineRule="exact"/>
        <w:rPr>
          <w:sz w:val="20"/>
          <w:szCs w:val="20"/>
          <w:color w:val="auto"/>
        </w:rPr>
      </w:pPr>
    </w:p>
    <w:p>
      <w:pPr>
        <w:jc w:val="both"/>
        <w:ind w:right="220" w:firstLine="473"/>
        <w:spacing w:after="0" w:line="303" w:lineRule="auto"/>
        <w:rPr>
          <w:sz w:val="20"/>
          <w:szCs w:val="20"/>
          <w:color w:val="auto"/>
        </w:rPr>
      </w:pPr>
      <w:r>
        <w:rPr>
          <w:rFonts w:ascii="Times New Roman" w:cs="Times New Roman" w:eastAsia="Times New Roman" w:hAnsi="Times New Roman"/>
          <w:sz w:val="16"/>
          <w:szCs w:val="16"/>
          <w:color w:val="231F20"/>
        </w:rPr>
        <w:t xml:space="preserve">During the </w:t>
      </w:r>
      <w:r>
        <w:rPr>
          <w:rFonts w:ascii="Times New Roman" w:cs="Times New Roman" w:eastAsia="Times New Roman" w:hAnsi="Times New Roman"/>
          <w:sz w:val="16"/>
          <w:szCs w:val="16"/>
          <w:color w:val="000000"/>
        </w:rPr>
        <w:t>six</w:t>
      </w:r>
      <w:r>
        <w:rPr>
          <w:rFonts w:ascii="Times New Roman" w:cs="Times New Roman" w:eastAsia="Times New Roman" w:hAnsi="Times New Roman"/>
          <w:sz w:val="16"/>
          <w:szCs w:val="16"/>
          <w:color w:val="231F20"/>
        </w:rPr>
        <w:t xml:space="preserve"> months ended </w:t>
      </w:r>
      <w:r>
        <w:rPr>
          <w:rFonts w:ascii="Times New Roman" w:cs="Times New Roman" w:eastAsia="Times New Roman" w:hAnsi="Times New Roman"/>
          <w:sz w:val="16"/>
          <w:szCs w:val="16"/>
          <w:color w:val="000000"/>
        </w:rPr>
        <w:t>June 30, 2024, cash used in financing activities of $16.2 million resulted from $7.3 million for the repurchase of stock in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connection with the taxes paid related to the vesting of equity awards, $5.3 million for the repurchase of stock related to the stock repurchase program, $5.2 million for payments related to member tax distributions partially offset by $1.6 million of proceeds related to the exercise of stock options.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10" w:lineRule="exact"/>
        <w:rPr>
          <w:sz w:val="20"/>
          <w:szCs w:val="20"/>
          <w:color w:val="auto"/>
        </w:rPr>
      </w:pPr>
    </w:p>
    <w:p>
      <w:pPr>
        <w:ind w:right="220" w:firstLine="473"/>
        <w:spacing w:after="0" w:line="252"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7"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84"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Since the date of our Annual Report on Form 10-K for the year ended December 31, 2024, there have been no material changes in our critical accounting policies and estimates disclosed in Part II, Item 7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10" w:lineRule="exact"/>
        <w:rPr>
          <w:sz w:val="20"/>
          <w:szCs w:val="20"/>
          <w:color w:val="auto"/>
        </w:rPr>
      </w:pPr>
    </w:p>
    <w:p>
      <w:pPr>
        <w:ind w:right="440" w:firstLine="473"/>
        <w:spacing w:after="0" w:line="268"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37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0"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there have been no material changes in our exposure to market risk. For a discussion of our exposure to market risk, see Part II, Item 7A “Quantitative and Qualitative Disclosures About Market Risk” of our Annual Report on Form 10-K for the fiscal year ended December 31, 2024.</w:t>
      </w:r>
    </w:p>
    <w:p>
      <w:pPr>
        <w:spacing w:after="0" w:line="38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1302"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2"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2" w:lineRule="exact"/>
        <w:rPr>
          <w:sz w:val="20"/>
          <w:szCs w:val="20"/>
          <w:color w:val="auto"/>
        </w:rPr>
      </w:pPr>
    </w:p>
    <w:p>
      <w:pPr>
        <w:ind w:right="240" w:firstLine="473"/>
        <w:spacing w:after="0" w:line="331" w:lineRule="auto"/>
        <w:rPr>
          <w:sz w:val="20"/>
          <w:szCs w:val="20"/>
          <w:color w:val="auto"/>
        </w:rPr>
      </w:pPr>
      <w:r>
        <w:rPr>
          <w:rFonts w:ascii="Times New Roman" w:cs="Times New Roman" w:eastAsia="Times New Roman" w:hAnsi="Times New Roman"/>
          <w:sz w:val="16"/>
          <w:szCs w:val="16"/>
          <w:color w:val="auto"/>
        </w:rPr>
        <w:t xml:space="preserve">There was no change in our internal control over financial reporting (as defined in Rules 13a-15(d) and 15d-15(d) under the Exchange Act) during the three months ended </w:t>
      </w:r>
      <w:r>
        <w:rPr>
          <w:rFonts w:ascii="Times New Roman" w:cs="Times New Roman" w:eastAsia="Times New Roman" w:hAnsi="Times New Roman"/>
          <w:sz w:val="16"/>
          <w:szCs w:val="16"/>
          <w:color w:val="231F20"/>
        </w:rPr>
        <w:t>June 30, 2025</w:t>
      </w:r>
      <w:r>
        <w:rPr>
          <w:rFonts w:ascii="Times New Roman" w:cs="Times New Roman" w:eastAsia="Times New Roman" w:hAnsi="Times New Roman"/>
          <w:sz w:val="16"/>
          <w:szCs w:val="16"/>
          <w:color w:val="auto"/>
        </w:rPr>
        <w:t xml:space="preserve"> that has materially affected, or is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12" w:lineRule="exact"/>
        <w:rPr>
          <w:sz w:val="20"/>
          <w:szCs w:val="20"/>
          <w:color w:val="auto"/>
        </w:rPr>
      </w:pPr>
    </w:p>
    <w:p>
      <w:pPr>
        <w:ind w:right="60" w:firstLine="473"/>
        <w:spacing w:after="0" w:line="24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45" w:name="page46"/>
    <w:bookmarkEnd w:id="45"/>
    <w:p>
      <w:pPr>
        <w:ind w:left="448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0" w:lineRule="exact"/>
        <w:rPr>
          <w:sz w:val="20"/>
          <w:szCs w:val="20"/>
          <w:color w:val="auto"/>
        </w:rPr>
      </w:pPr>
    </w:p>
    <w:p>
      <w:pPr>
        <w:jc w:val="both"/>
        <w:ind w:right="60" w:firstLine="473"/>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100" w:firstLine="473"/>
        <w:spacing w:after="0" w:line="249"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right="60" w:firstLine="473"/>
        <w:spacing w:after="0" w:line="257"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73" w:lineRule="exact"/>
        <w:rPr>
          <w:sz w:val="20"/>
          <w:szCs w:val="20"/>
          <w:color w:val="auto"/>
        </w:rPr>
      </w:pPr>
    </w:p>
    <w:p>
      <w:pPr>
        <w:ind w:left="960" w:right="60" w:hanging="482"/>
        <w:spacing w:after="0" w:line="268"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08" w:lineRule="exact"/>
        <w:rPr>
          <w:rFonts w:ascii="Times New Roman" w:cs="Times New Roman" w:eastAsia="Times New Roman" w:hAnsi="Times New Roman"/>
          <w:sz w:val="18"/>
          <w:szCs w:val="18"/>
          <w:color w:val="auto"/>
        </w:rPr>
      </w:pPr>
    </w:p>
    <w:p>
      <w:pPr>
        <w:ind w:left="960" w:right="380" w:hanging="482"/>
        <w:spacing w:after="0" w:line="268"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63" w:lineRule="exact"/>
        <w:rPr>
          <w:rFonts w:ascii="Times New Roman" w:cs="Times New Roman" w:eastAsia="Times New Roman" w:hAnsi="Times New Roman"/>
          <w:sz w:val="18"/>
          <w:szCs w:val="18"/>
          <w:color w:val="auto"/>
        </w:rPr>
      </w:pPr>
    </w:p>
    <w:p>
      <w:pPr>
        <w:ind w:left="960" w:right="80" w:hanging="482"/>
        <w:spacing w:after="0" w:line="268"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63" w:lineRule="exact"/>
        <w:rPr>
          <w:rFonts w:ascii="Times New Roman" w:cs="Times New Roman" w:eastAsia="Times New Roman" w:hAnsi="Times New Roman"/>
          <w:sz w:val="18"/>
          <w:szCs w:val="18"/>
          <w:color w:val="auto"/>
        </w:rPr>
      </w:pPr>
    </w:p>
    <w:p>
      <w:pPr>
        <w:ind w:left="960" w:right="540" w:hanging="482"/>
        <w:spacing w:after="0" w:line="331" w:lineRule="auto"/>
        <w:tabs>
          <w:tab w:leader="none" w:pos="9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18" w:lineRule="exact"/>
        <w:rPr>
          <w:rFonts w:ascii="Times New Roman" w:cs="Times New Roman" w:eastAsia="Times New Roman" w:hAnsi="Times New Roman"/>
          <w:sz w:val="16"/>
          <w:szCs w:val="16"/>
          <w:color w:val="auto"/>
        </w:rPr>
      </w:pPr>
    </w:p>
    <w:p>
      <w:pPr>
        <w:ind w:left="960" w:right="160" w:hanging="482"/>
        <w:spacing w:after="0" w:line="331" w:lineRule="auto"/>
        <w:tabs>
          <w:tab w:leader="none" w:pos="9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18" w:lineRule="exact"/>
        <w:rPr>
          <w:rFonts w:ascii="Times New Roman" w:cs="Times New Roman" w:eastAsia="Times New Roman" w:hAnsi="Times New Roman"/>
          <w:sz w:val="16"/>
          <w:szCs w:val="16"/>
          <w:color w:val="auto"/>
        </w:rPr>
      </w:pPr>
    </w:p>
    <w:p>
      <w:pPr>
        <w:jc w:val="both"/>
        <w:ind w:left="960" w:right="460" w:hanging="482"/>
        <w:spacing w:after="0" w:line="331" w:lineRule="auto"/>
        <w:tabs>
          <w:tab w:leader="none" w:pos="9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macroeconomic conditions and geopolitical events, such as inflation, international trade conflict, high interest rates, and other adverse market events, have had, and could in the future have, an adverse impact on our business, operating results and financial condition;</w:t>
      </w:r>
    </w:p>
    <w:p>
      <w:pPr>
        <w:spacing w:after="0" w:line="18" w:lineRule="exact"/>
        <w:rPr>
          <w:rFonts w:ascii="Times New Roman" w:cs="Times New Roman" w:eastAsia="Times New Roman" w:hAnsi="Times New Roman"/>
          <w:sz w:val="16"/>
          <w:szCs w:val="16"/>
          <w:color w:val="auto"/>
        </w:rPr>
      </w:pPr>
    </w:p>
    <w:p>
      <w:pPr>
        <w:ind w:left="940" w:hanging="462"/>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08" w:lineRule="exact"/>
        <w:rPr>
          <w:rFonts w:ascii="Times New Roman" w:cs="Times New Roman" w:eastAsia="Times New Roman" w:hAnsi="Times New Roman"/>
          <w:sz w:val="18"/>
          <w:szCs w:val="18"/>
          <w:color w:val="auto"/>
        </w:rPr>
      </w:pPr>
    </w:p>
    <w:p>
      <w:pPr>
        <w:ind w:left="960" w:right="300" w:hanging="482"/>
        <w:spacing w:after="0" w:line="268"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is diminished, the effectiveness of our platform would be decreased, which could harm our operating results and financial condition;</w:t>
      </w:r>
    </w:p>
    <w:p>
      <w:pPr>
        <w:spacing w:after="0" w:line="63" w:lineRule="exact"/>
        <w:rPr>
          <w:rFonts w:ascii="Times New Roman" w:cs="Times New Roman" w:eastAsia="Times New Roman" w:hAnsi="Times New Roman"/>
          <w:sz w:val="18"/>
          <w:szCs w:val="18"/>
          <w:color w:val="auto"/>
        </w:rPr>
      </w:pPr>
    </w:p>
    <w:p>
      <w:pPr>
        <w:ind w:left="960" w:right="120" w:hanging="482"/>
        <w:spacing w:after="0" w:line="249"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adverse effects on the demand for our products and services, or other adverse business consequences;</w:t>
      </w:r>
    </w:p>
    <w:p>
      <w:pPr>
        <w:spacing w:after="0" w:line="82" w:lineRule="exact"/>
        <w:rPr>
          <w:rFonts w:ascii="Times New Roman" w:cs="Times New Roman" w:eastAsia="Times New Roman" w:hAnsi="Times New Roman"/>
          <w:sz w:val="18"/>
          <w:szCs w:val="18"/>
          <w:color w:val="auto"/>
        </w:rPr>
      </w:pPr>
    </w:p>
    <w:p>
      <w:pPr>
        <w:ind w:left="960" w:hanging="482"/>
        <w:spacing w:after="0" w:line="256"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2" w:right="359" w:bottom="1440" w:gutter="0" w:footer="0" w:header="0"/>
        </w:sectPr>
      </w:pPr>
    </w:p>
    <w:bookmarkStart w:id="46" w:name="page47"/>
    <w:bookmarkEnd w:id="46"/>
    <w:p>
      <w:pPr>
        <w:ind w:left="960" w:right="440" w:hanging="482"/>
        <w:spacing w:after="0" w:line="256"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breach of or other security incident involving our IT Systems or Confidential Data (each as defined in this Item 1A), or of the security of our or our customers’, suppliers’, or other third parties’ systems or data upon which we rely could be detrimental to our business, reputation and results of operations;</w:t>
      </w:r>
    </w:p>
    <w:p>
      <w:pPr>
        <w:spacing w:after="0" w:line="73" w:lineRule="exact"/>
        <w:rPr>
          <w:rFonts w:ascii="Times New Roman" w:cs="Times New Roman" w:eastAsia="Times New Roman" w:hAnsi="Times New Roman"/>
          <w:sz w:val="18"/>
          <w:szCs w:val="18"/>
          <w:color w:val="auto"/>
        </w:rPr>
      </w:pPr>
    </w:p>
    <w:p>
      <w:pPr>
        <w:ind w:left="960" w:right="240" w:hanging="482"/>
        <w:spacing w:after="0" w:line="256"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may not result in the benefits we anticipate for our business, and may result in a decline in the performance of our products, services and business, as well as our reputation and the reputations of our customers, or cause us to incur liability resulting from the violation of laws or contracts to which we are a party;</w:t>
      </w:r>
    </w:p>
    <w:p>
      <w:pPr>
        <w:spacing w:after="0" w:line="73" w:lineRule="exact"/>
        <w:rPr>
          <w:rFonts w:ascii="Times New Roman" w:cs="Times New Roman" w:eastAsia="Times New Roman" w:hAnsi="Times New Roman"/>
          <w:sz w:val="18"/>
          <w:szCs w:val="18"/>
          <w:color w:val="auto"/>
        </w:rPr>
      </w:pPr>
    </w:p>
    <w:p>
      <w:pPr>
        <w:ind w:left="960" w:right="200" w:hanging="482"/>
        <w:spacing w:after="0" w:line="268"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Class A common stock has been and may continue to be volatile or may decline regardless of our operating performance;</w:t>
      </w:r>
    </w:p>
    <w:p>
      <w:pPr>
        <w:spacing w:after="0" w:line="131" w:lineRule="exact"/>
        <w:rPr>
          <w:rFonts w:ascii="Times New Roman" w:cs="Times New Roman" w:eastAsia="Times New Roman" w:hAnsi="Times New Roman"/>
          <w:sz w:val="16"/>
          <w:szCs w:val="16"/>
          <w:color w:val="auto"/>
        </w:rPr>
      </w:pPr>
    </w:p>
    <w:p>
      <w:pPr>
        <w:ind w:left="940" w:hanging="462"/>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series of risks associated with climate change and environmental, social and governance matters; and</w:t>
      </w:r>
    </w:p>
    <w:p>
      <w:pPr>
        <w:spacing w:after="0" w:line="108" w:lineRule="exact"/>
        <w:rPr>
          <w:rFonts w:ascii="Times New Roman" w:cs="Times New Roman" w:eastAsia="Times New Roman" w:hAnsi="Times New Roman"/>
          <w:sz w:val="18"/>
          <w:szCs w:val="18"/>
          <w:color w:val="auto"/>
        </w:rPr>
      </w:pPr>
    </w:p>
    <w:p>
      <w:pPr>
        <w:ind w:left="960" w:right="220" w:hanging="482"/>
        <w:spacing w:after="0" w:line="268"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61" w:lineRule="exact"/>
        <w:rPr>
          <w:sz w:val="20"/>
          <w:szCs w:val="20"/>
          <w:color w:val="auto"/>
        </w:rPr>
      </w:pPr>
    </w:p>
    <w:p>
      <w:pPr>
        <w:ind w:right="40" w:firstLine="473"/>
        <w:spacing w:after="0" w:line="278" w:lineRule="auto"/>
        <w:rPr>
          <w:sz w:val="20"/>
          <w:szCs w:val="20"/>
          <w:color w:val="auto"/>
        </w:rPr>
      </w:pPr>
      <w:r>
        <w:rPr>
          <w:rFonts w:ascii="Times New Roman" w:cs="Times New Roman" w:eastAsia="Times New Roman" w:hAnsi="Times New Roman"/>
          <w:sz w:val="16"/>
          <w:szCs w:val="16"/>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12"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or to the degree that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8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61"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w:t>
      </w:r>
    </w:p>
    <w:p>
      <w:pPr>
        <w:spacing w:after="0" w:line="200" w:lineRule="exact"/>
        <w:rPr>
          <w:sz w:val="20"/>
          <w:szCs w:val="20"/>
          <w:color w:val="auto"/>
        </w:rPr>
      </w:pPr>
    </w:p>
    <w:p>
      <w:pPr>
        <w:spacing w:after="0" w:line="2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47" w:name="page48"/>
    <w:bookmarkEnd w:id="47"/>
    <w:p>
      <w:pPr>
        <w:spacing w:after="0" w:line="247" w:lineRule="auto"/>
        <w:rPr>
          <w:sz w:val="20"/>
          <w:szCs w:val="20"/>
          <w:color w:val="auto"/>
        </w:rPr>
      </w:pPr>
      <w:r>
        <w:rPr>
          <w:rFonts w:ascii="Times New Roman" w:cs="Times New Roman" w:eastAsia="Times New Roman" w:hAnsi="Times New Roman"/>
          <w:sz w:val="18"/>
          <w:szCs w:val="18"/>
          <w:color w:val="auto"/>
        </w:rPr>
        <w:t>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spacing w:after="0" w:line="86"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5"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61"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84" w:lineRule="exact"/>
        <w:rPr>
          <w:sz w:val="20"/>
          <w:szCs w:val="20"/>
          <w:color w:val="auto"/>
        </w:rPr>
      </w:pPr>
    </w:p>
    <w:p>
      <w:pPr>
        <w:ind w:right="20" w:firstLine="473"/>
        <w:spacing w:after="0" w:line="245"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CTV, streaming audio, digital out-of-home, mobile and desktop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CTV offering may not continue. Furthermore, if our channel mix changes due to a shift in customer demand, such as customers shifting their usage more quickly or more extensively than expected to channels in which we have relatively less functionality, features or inventory, then demand for our platform could decrease, and our business, financial condition and results of operations could be adversely affected. In addition, our revenue may not necessarily grow at the same rate as spend on our platform. As the market for programmatic buying for advertising matures, growth in spend may outpace growth in our revenue due to a number of factors, including pricing competition, volume discounts and shifts in media, client and channel mix, and the composition of offerings provided to our clients. A significant change in revenue as a percentage of spend could reflect an adverse change in our business and growth prospects. In addition, any such fluctuations, even if they reflect our strategic decisions, could cause our performance to fall below the expectations of securities analysts and investors, and adversely affect the price of our Class A common stock.</w:t>
      </w:r>
    </w:p>
    <w:p>
      <w:pPr>
        <w:spacing w:after="0" w:line="193"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61" w:lineRule="exact"/>
        <w:rPr>
          <w:sz w:val="20"/>
          <w:szCs w:val="20"/>
          <w:color w:val="auto"/>
        </w:rPr>
      </w:pPr>
    </w:p>
    <w:p>
      <w:pPr>
        <w:ind w:right="180" w:firstLine="473"/>
        <w:spacing w:after="0" w:line="252"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7" w:lineRule="exact"/>
        <w:rPr>
          <w:sz w:val="20"/>
          <w:szCs w:val="20"/>
          <w:color w:val="auto"/>
        </w:rPr>
      </w:pPr>
    </w:p>
    <w:p>
      <w:pPr>
        <w:ind w:right="40" w:firstLine="473"/>
        <w:spacing w:after="0" w:line="249"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A holding company may be acquired by, or consolidate with, another holding company that does not utilize our platform, or may otherwise reduce overall spend on our platform as a result of an acquisition or consolidation. If so, any consolidation of, or loss of relationships with such holding companies and, consequently, of their agencies, local branches or divisions, as customers could significantly harm our business, operating results and financial condition.</w:t>
      </w:r>
    </w:p>
    <w:p>
      <w:pPr>
        <w:spacing w:after="0" w:line="83" w:lineRule="exact"/>
        <w:rPr>
          <w:sz w:val="20"/>
          <w:szCs w:val="20"/>
          <w:color w:val="auto"/>
        </w:rPr>
      </w:pPr>
    </w:p>
    <w:p>
      <w:pPr>
        <w:ind w:right="120" w:firstLine="473"/>
        <w:spacing w:after="0" w:line="252"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8" w:name="page49"/>
    <w:bookmarkEnd w:id="48"/>
    <w:p>
      <w:pPr>
        <w:ind w:right="80" w:firstLine="473"/>
        <w:spacing w:after="0" w:line="248" w:lineRule="auto"/>
        <w:rPr>
          <w:sz w:val="20"/>
          <w:szCs w:val="20"/>
          <w:color w:val="auto"/>
        </w:rPr>
      </w:pPr>
      <w:r>
        <w:rPr>
          <w:rFonts w:ascii="Times New Roman" w:cs="Times New Roman" w:eastAsia="Times New Roman" w:hAnsi="Times New Roman"/>
          <w:sz w:val="18"/>
          <w:szCs w:val="18"/>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spacing w:after="0" w:line="18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61"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90"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tariffs, high interest rates and other adverse market events have had, and could in the future have, an adverse impact on our business, operating results and financial condition.</w:t>
      </w:r>
    </w:p>
    <w:p>
      <w:pPr>
        <w:spacing w:after="0" w:line="61" w:lineRule="exact"/>
        <w:rPr>
          <w:sz w:val="20"/>
          <w:szCs w:val="20"/>
          <w:color w:val="auto"/>
        </w:rPr>
      </w:pPr>
    </w:p>
    <w:p>
      <w:pPr>
        <w:ind w:right="20" w:firstLine="473"/>
        <w:spacing w:after="0" w:line="249"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tariffs, labor shortages, shortages of goods and services, supply chain constraints, pandemics, political cycles, changes in laws and interpretations of laws, and potential disruptions from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83" w:lineRule="exact"/>
        <w:rPr>
          <w:sz w:val="20"/>
          <w:szCs w:val="20"/>
          <w:color w:val="auto"/>
        </w:rPr>
      </w:pPr>
    </w:p>
    <w:p>
      <w:pPr>
        <w:ind w:right="40" w:firstLine="473"/>
        <w:spacing w:after="0" w:line="245"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disruptions, tariffs, tightening of credit markets, political cycles, changes in laws and interpretations of laws, changes in the volume and relative mix of U.S. government spending, cost-cutting and efficiency initiatives, and potential disruptions from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92"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9" w:name="page50"/>
    <w:bookmarkEnd w:id="49"/>
    <w:p>
      <w:pPr>
        <w:ind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73" w:lineRule="exact"/>
        <w:rPr>
          <w:sz w:val="20"/>
          <w:szCs w:val="20"/>
          <w:color w:val="auto"/>
        </w:rPr>
      </w:pPr>
    </w:p>
    <w:p>
      <w:pPr>
        <w:ind w:right="120" w:firstLine="473"/>
        <w:spacing w:after="0" w:line="285" w:lineRule="auto"/>
        <w:rPr>
          <w:sz w:val="20"/>
          <w:szCs w:val="20"/>
          <w:color w:val="auto"/>
        </w:rPr>
      </w:pPr>
      <w:r>
        <w:rPr>
          <w:rFonts w:ascii="Times New Roman" w:cs="Times New Roman" w:eastAsia="Times New Roman" w:hAnsi="Times New Roman"/>
          <w:sz w:val="16"/>
          <w:szCs w:val="16"/>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56"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184"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61"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3"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7" w:lineRule="exact"/>
        <w:rPr>
          <w:sz w:val="20"/>
          <w:szCs w:val="20"/>
          <w:color w:val="auto"/>
        </w:rPr>
      </w:pPr>
    </w:p>
    <w:p>
      <w:pPr>
        <w:ind w:right="140" w:firstLine="473"/>
        <w:spacing w:after="0" w:line="247"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or other needs. As we continue to grow, our business may not generate sufficient cash flow from operations and future borrowings may not be available to us under the credit facility in an amount sufficient to fund our working capital requirements or other needs. If our cash flows and credit facility borrowings are insufficient to fund our working capital requirements or other needs,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12" w:lineRule="exact"/>
        <w:rPr>
          <w:sz w:val="20"/>
          <w:szCs w:val="20"/>
          <w:color w:val="auto"/>
        </w:rPr>
      </w:pPr>
    </w:p>
    <w:p>
      <w:pPr>
        <w:ind w:right="40" w:firstLine="473"/>
        <w:spacing w:after="0" w:line="280" w:lineRule="auto"/>
        <w:rPr>
          <w:sz w:val="20"/>
          <w:szCs w:val="20"/>
          <w:color w:val="auto"/>
        </w:rPr>
      </w:pPr>
      <w:r>
        <w:rPr>
          <w:rFonts w:ascii="Times New Roman" w:cs="Times New Roman" w:eastAsia="Times New Roman" w:hAnsi="Times New Roman"/>
          <w:sz w:val="16"/>
          <w:szCs w:val="16"/>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50" w:name="page51"/>
    <w:bookmarkEnd w:id="50"/>
    <w:p>
      <w:pPr>
        <w:ind w:right="240"/>
        <w:spacing w:after="0" w:line="268" w:lineRule="auto"/>
        <w:rPr>
          <w:sz w:val="20"/>
          <w:szCs w:val="20"/>
          <w:color w:val="auto"/>
        </w:rPr>
      </w:pPr>
      <w:r>
        <w:rPr>
          <w:rFonts w:ascii="Times New Roman" w:cs="Times New Roman" w:eastAsia="Times New Roman" w:hAnsi="Times New Roman"/>
          <w:sz w:val="18"/>
          <w:szCs w:val="18"/>
          <w:color w:val="auto"/>
        </w:rPr>
        <w:t>Furthermore, the inventory that we access through real-time advertising exchanges may be of low quality or misrepresented to us, despite attempts by us and our suppliers to prevent fraud and conduct quality assurance checks.</w:t>
      </w:r>
    </w:p>
    <w:p>
      <w:pPr>
        <w:spacing w:after="0" w:line="63" w:lineRule="exact"/>
        <w:rPr>
          <w:sz w:val="20"/>
          <w:szCs w:val="20"/>
          <w:color w:val="auto"/>
        </w:rPr>
      </w:pPr>
    </w:p>
    <w:p>
      <w:pPr>
        <w:ind w:right="180" w:firstLine="473"/>
        <w:spacing w:after="0" w:line="249"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83" w:lineRule="exact"/>
        <w:rPr>
          <w:sz w:val="20"/>
          <w:szCs w:val="20"/>
          <w:color w:val="auto"/>
        </w:rPr>
      </w:pPr>
    </w:p>
    <w:p>
      <w:pPr>
        <w:ind w:right="20" w:firstLine="473"/>
        <w:spacing w:after="0" w:line="268"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access to data is diminished, the effectiveness of our platform would be decreased, which could harm our operating results and financial condition.</w:t>
      </w:r>
    </w:p>
    <w:p>
      <w:pPr>
        <w:spacing w:after="0" w:line="135" w:lineRule="exact"/>
        <w:rPr>
          <w:sz w:val="20"/>
          <w:szCs w:val="20"/>
          <w:color w:val="auto"/>
        </w:rPr>
      </w:pPr>
    </w:p>
    <w:p>
      <w:pPr>
        <w:ind w:right="60" w:firstLine="473"/>
        <w:spacing w:after="0" w:line="247"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86" w:lineRule="exact"/>
        <w:rPr>
          <w:sz w:val="20"/>
          <w:szCs w:val="20"/>
          <w:color w:val="auto"/>
        </w:rPr>
      </w:pPr>
    </w:p>
    <w:p>
      <w:pPr>
        <w:ind w:right="60" w:firstLine="473"/>
        <w:spacing w:after="0" w:line="247" w:lineRule="auto"/>
        <w:rPr>
          <w:sz w:val="20"/>
          <w:szCs w:val="20"/>
          <w:color w:val="auto"/>
        </w:rPr>
      </w:pPr>
      <w:r>
        <w:rPr>
          <w:rFonts w:ascii="Times New Roman" w:cs="Times New Roman" w:eastAsia="Times New Roman" w:hAnsi="Times New Roman"/>
          <w:sz w:val="18"/>
          <w:szCs w:val="18"/>
          <w:color w:val="auto"/>
        </w:rPr>
        <w:t>Legislators, regulators, and other authorities have focused heavily on third-party data suppliers and the advertising industry in recent years, and we expect this to continue. State Privacy Laws and other U.S. and foreign laws governing Personal Information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spacing w:after="0" w:line="86" w:lineRule="exact"/>
        <w:rPr>
          <w:sz w:val="20"/>
          <w:szCs w:val="20"/>
          <w:color w:val="auto"/>
        </w:rPr>
      </w:pPr>
    </w:p>
    <w:p>
      <w:pPr>
        <w:ind w:right="40" w:firstLine="473"/>
        <w:spacing w:after="0" w:line="245"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Information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Information.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 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 risks to our business associated with such laws and regulations.</w:t>
      </w:r>
    </w:p>
    <w:p>
      <w:pPr>
        <w:spacing w:after="0" w:line="89"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75"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61" w:lineRule="exact"/>
        <w:rPr>
          <w:sz w:val="20"/>
          <w:szCs w:val="20"/>
          <w:color w:val="auto"/>
        </w:rPr>
      </w:pPr>
    </w:p>
    <w:p>
      <w:pPr>
        <w:ind w:right="80" w:firstLine="473"/>
        <w:spacing w:after="0" w:line="268"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w:t>
      </w:r>
    </w:p>
    <w:p>
      <w:pPr>
        <w:spacing w:after="0" w:line="37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1" w:name="page52"/>
    <w:bookmarkEnd w:id="51"/>
    <w:p>
      <w:pPr>
        <w:ind w:right="160"/>
        <w:spacing w:after="0" w:line="248" w:lineRule="auto"/>
        <w:rPr>
          <w:sz w:val="20"/>
          <w:szCs w:val="20"/>
          <w:color w:val="auto"/>
        </w:rPr>
      </w:pPr>
      <w:r>
        <w:rPr>
          <w:rFonts w:ascii="Times New Roman" w:cs="Times New Roman" w:eastAsia="Times New Roman" w:hAnsi="Times New Roman"/>
          <w:sz w:val="18"/>
          <w:szCs w:val="18"/>
          <w:color w:val="auto"/>
        </w:rPr>
        <w:t>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61"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We had approximately 381 employees as of June 30, 2025.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8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61" w:lineRule="exact"/>
        <w:rPr>
          <w:sz w:val="20"/>
          <w:szCs w:val="20"/>
          <w:color w:val="auto"/>
        </w:rPr>
      </w:pPr>
    </w:p>
    <w:p>
      <w:pPr>
        <w:ind w:firstLine="473"/>
        <w:spacing w:after="0" w:line="279" w:lineRule="auto"/>
        <w:rPr>
          <w:sz w:val="20"/>
          <w:szCs w:val="20"/>
          <w:color w:val="auto"/>
        </w:rPr>
      </w:pPr>
      <w:r>
        <w:rPr>
          <w:rFonts w:ascii="Times New Roman" w:cs="Times New Roman" w:eastAsia="Times New Roman" w:hAnsi="Times New Roman"/>
          <w:sz w:val="16"/>
          <w:szCs w:val="16"/>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6"/>
          <w:szCs w:val="16"/>
          <w:i w:val="1"/>
          <w:iCs w:val="1"/>
          <w:color w:val="auto"/>
        </w:rPr>
        <w:t>—A significant breach of our IT Systems or disclosure of our Confidential Data, or of the security of our or our customers’,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suppliers’, or other third parties’ systems upon which we rely could be detrimental to our business, reputation and results of operations</w:t>
      </w:r>
      <w:r>
        <w:rPr>
          <w:rFonts w:ascii="Times New Roman" w:cs="Times New Roman" w:eastAsia="Times New Roman" w:hAnsi="Times New Roman"/>
          <w:sz w:val="16"/>
          <w:szCs w:val="16"/>
          <w:color w:val="auto"/>
        </w:rPr>
        <w:t>”). Furthermore, while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37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61"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7" w:lineRule="exact"/>
        <w:rPr>
          <w:sz w:val="20"/>
          <w:szCs w:val="20"/>
          <w:color w:val="auto"/>
        </w:rPr>
      </w:pPr>
    </w:p>
    <w:p>
      <w:pPr>
        <w:ind w:right="20" w:firstLine="473"/>
        <w:spacing w:after="0" w:line="279" w:lineRule="auto"/>
        <w:rPr>
          <w:sz w:val="20"/>
          <w:szCs w:val="20"/>
          <w:color w:val="auto"/>
        </w:rPr>
      </w:pPr>
      <w:r>
        <w:rPr>
          <w:rFonts w:ascii="Times New Roman" w:cs="Times New Roman" w:eastAsia="Times New Roman" w:hAnsi="Times New Roman"/>
          <w:sz w:val="16"/>
          <w:szCs w:val="16"/>
          <w:color w:val="auto"/>
        </w:rPr>
        <w:t>Our platform is complex and multifaceted, and operational and performance issues can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6"/>
          <w:szCs w:val="16"/>
          <w:i w:val="1"/>
          <w:iCs w:val="1"/>
          <w:color w:val="auto"/>
        </w:rPr>
        <w:t>—A significant breach of our IT Systems or disclosure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6"/>
          <w:szCs w:val="16"/>
          <w:color w:val="auto"/>
        </w:rPr>
        <w:t>”). Errors, failures, vulnerabilities or bugs have been found in the past and may be found in the future. We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w:t>
      </w:r>
    </w:p>
    <w:p>
      <w:pPr>
        <w:spacing w:after="0" w:line="200" w:lineRule="exact"/>
        <w:rPr>
          <w:sz w:val="20"/>
          <w:szCs w:val="20"/>
          <w:color w:val="auto"/>
        </w:rPr>
      </w:pP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2" w:name="page53"/>
    <w:bookmarkEnd w:id="52"/>
    <w:p>
      <w:pPr>
        <w:ind w:right="60"/>
        <w:spacing w:after="0" w:line="268" w:lineRule="auto"/>
        <w:rPr>
          <w:sz w:val="20"/>
          <w:szCs w:val="20"/>
          <w:color w:val="auto"/>
        </w:rPr>
      </w:pPr>
      <w:r>
        <w:rPr>
          <w:rFonts w:ascii="Times New Roman" w:cs="Times New Roman" w:eastAsia="Times New Roman" w:hAnsi="Times New Roman"/>
          <w:sz w:val="18"/>
          <w:szCs w:val="18"/>
          <w:color w:val="auto"/>
        </w:rPr>
        <w:t>partially. We provide service level agreements to some of our customers, and if our platform is not available for specified amounts of time, we may be required to provide credits or other financial compensation to our customers.</w:t>
      </w:r>
    </w:p>
    <w:p>
      <w:pPr>
        <w:spacing w:after="0" w:line="63"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84" w:lineRule="exact"/>
        <w:rPr>
          <w:sz w:val="20"/>
          <w:szCs w:val="20"/>
          <w:color w:val="auto"/>
        </w:rPr>
      </w:pPr>
    </w:p>
    <w:p>
      <w:pPr>
        <w:ind w:right="20" w:firstLine="473"/>
        <w:spacing w:after="0" w:line="249" w:lineRule="auto"/>
        <w:rPr>
          <w:sz w:val="20"/>
          <w:szCs w:val="20"/>
          <w:color w:val="auto"/>
        </w:rPr>
      </w:pPr>
      <w:r>
        <w:rPr>
          <w:rFonts w:ascii="Times New Roman" w:cs="Times New Roman" w:eastAsia="Times New Roman" w:hAnsi="Times New Roman"/>
          <w:sz w:val="18"/>
          <w:szCs w:val="18"/>
          <w:color w:val="auto"/>
        </w:rPr>
        <w:t>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84"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61" w:lineRule="exact"/>
        <w:rPr>
          <w:sz w:val="20"/>
          <w:szCs w:val="20"/>
          <w:color w:val="auto"/>
        </w:rPr>
      </w:pPr>
    </w:p>
    <w:p>
      <w:pPr>
        <w:ind w:right="40" w:firstLine="473"/>
        <w:spacing w:after="0" w:line="285" w:lineRule="auto"/>
        <w:rPr>
          <w:sz w:val="20"/>
          <w:szCs w:val="20"/>
          <w:color w:val="auto"/>
        </w:rPr>
      </w:pPr>
      <w:r>
        <w:rPr>
          <w:rFonts w:ascii="Times New Roman" w:cs="Times New Roman" w:eastAsia="Times New Roman" w:hAnsi="Times New Roman"/>
          <w:sz w:val="16"/>
          <w:szCs w:val="16"/>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56" w:lineRule="exact"/>
        <w:rPr>
          <w:sz w:val="20"/>
          <w:szCs w:val="20"/>
          <w:color w:val="auto"/>
        </w:rPr>
      </w:pPr>
    </w:p>
    <w:p>
      <w:pPr>
        <w:ind w:right="80" w:firstLine="473"/>
        <w:spacing w:after="0" w:line="246"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by third-party data center hosting facilities,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or other environmental or social pressures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5" w:lineRule="exact"/>
        <w:rPr>
          <w:sz w:val="20"/>
          <w:szCs w:val="20"/>
          <w:color w:val="auto"/>
        </w:rPr>
      </w:pPr>
    </w:p>
    <w:p>
      <w:pPr>
        <w:jc w:val="both"/>
        <w:ind w:right="480" w:firstLine="473"/>
        <w:spacing w:after="0" w:line="256"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61"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We depend on various third-party open-source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200" w:lineRule="exact"/>
        <w:rPr>
          <w:sz w:val="20"/>
          <w:szCs w:val="20"/>
          <w:color w:val="auto"/>
        </w:rPr>
      </w:pPr>
    </w:p>
    <w:p>
      <w:pPr>
        <w:spacing w:after="0" w:line="2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53" w:name="page54"/>
    <w:bookmarkEnd w:id="53"/>
    <w:p>
      <w:pPr>
        <w:ind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61" w:lineRule="exact"/>
        <w:rPr>
          <w:sz w:val="20"/>
          <w:szCs w:val="20"/>
          <w:color w:val="auto"/>
        </w:rPr>
      </w:pPr>
    </w:p>
    <w:p>
      <w:pPr>
        <w:ind w:firstLine="473"/>
        <w:spacing w:after="0" w:line="278" w:lineRule="auto"/>
        <w:rPr>
          <w:sz w:val="20"/>
          <w:szCs w:val="20"/>
          <w:color w:val="auto"/>
        </w:rPr>
      </w:pPr>
      <w:r>
        <w:rPr>
          <w:rFonts w:ascii="Times New Roman" w:cs="Times New Roman" w:eastAsia="Times New Roman" w:hAnsi="Times New Roman"/>
          <w:sz w:val="16"/>
          <w:szCs w:val="16"/>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12" w:lineRule="exact"/>
        <w:rPr>
          <w:sz w:val="20"/>
          <w:szCs w:val="20"/>
          <w:color w:val="auto"/>
        </w:rPr>
      </w:pPr>
    </w:p>
    <w:p>
      <w:pPr>
        <w:ind w:right="140" w:firstLine="473"/>
        <w:spacing w:after="0" w:line="283" w:lineRule="auto"/>
        <w:rPr>
          <w:sz w:val="20"/>
          <w:szCs w:val="20"/>
          <w:color w:val="auto"/>
        </w:rPr>
      </w:pPr>
      <w:r>
        <w:rPr>
          <w:rFonts w:ascii="Times New Roman" w:cs="Times New Roman" w:eastAsia="Times New Roman" w:hAnsi="Times New Roman"/>
          <w:sz w:val="16"/>
          <w:szCs w:val="16"/>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112"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85" w:lineRule="exact"/>
        <w:rPr>
          <w:sz w:val="20"/>
          <w:szCs w:val="20"/>
          <w:color w:val="auto"/>
        </w:rPr>
      </w:pPr>
    </w:p>
    <w:p>
      <w:pPr>
        <w:ind w:left="940" w:hanging="462"/>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08" w:lineRule="exact"/>
        <w:rPr>
          <w:rFonts w:ascii="Times New Roman" w:cs="Times New Roman" w:eastAsia="Times New Roman" w:hAnsi="Times New Roman"/>
          <w:sz w:val="18"/>
          <w:szCs w:val="18"/>
          <w:color w:val="auto"/>
        </w:rPr>
      </w:pPr>
    </w:p>
    <w:p>
      <w:pPr>
        <w:ind w:left="960" w:right="780" w:hanging="482"/>
        <w:spacing w:after="0" w:line="268" w:lineRule="auto"/>
        <w:tabs>
          <w:tab w:leader="none" w:pos="9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and information technology systems;</w:t>
      </w:r>
    </w:p>
    <w:p>
      <w:pPr>
        <w:spacing w:after="0" w:line="37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54" w:name="page55"/>
    <w:bookmarkEnd w:id="54"/>
    <w:p>
      <w:pPr>
        <w:ind w:left="940" w:hanging="462"/>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products and technology;</w:t>
      </w:r>
    </w:p>
    <w:p>
      <w:pPr>
        <w:spacing w:after="0" w:line="108" w:lineRule="exact"/>
        <w:rPr>
          <w:rFonts w:ascii="Times New Roman" w:cs="Times New Roman" w:eastAsia="Times New Roman" w:hAnsi="Times New Roman"/>
          <w:sz w:val="18"/>
          <w:szCs w:val="18"/>
          <w:color w:val="auto"/>
        </w:rPr>
      </w:pPr>
    </w:p>
    <w:p>
      <w:pPr>
        <w:ind w:left="960" w:right="160" w:hanging="482"/>
        <w:spacing w:after="0" w:line="268" w:lineRule="auto"/>
        <w:tabs>
          <w:tab w:leader="none" w:pos="9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08" w:lineRule="exact"/>
        <w:rPr>
          <w:rFonts w:ascii="Times New Roman" w:cs="Times New Roman" w:eastAsia="Times New Roman" w:hAnsi="Times New Roman"/>
          <w:sz w:val="18"/>
          <w:szCs w:val="18"/>
          <w:color w:val="auto"/>
        </w:rPr>
      </w:pPr>
    </w:p>
    <w:p>
      <w:pPr>
        <w:ind w:left="960" w:right="340" w:hanging="482"/>
        <w:spacing w:after="0" w:line="268" w:lineRule="auto"/>
        <w:tabs>
          <w:tab w:leader="none" w:pos="9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clients, suppliers, vendors, or investors.</w:t>
      </w:r>
    </w:p>
    <w:p>
      <w:pPr>
        <w:spacing w:after="0" w:line="108"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78"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61"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7" w:lineRule="exact"/>
        <w:rPr>
          <w:sz w:val="20"/>
          <w:szCs w:val="20"/>
          <w:color w:val="auto"/>
        </w:rPr>
      </w:pPr>
    </w:p>
    <w:p>
      <w:pPr>
        <w:ind w:firstLine="473"/>
        <w:spacing w:after="0" w:line="285" w:lineRule="auto"/>
        <w:rPr>
          <w:sz w:val="20"/>
          <w:szCs w:val="20"/>
          <w:color w:val="auto"/>
        </w:rPr>
      </w:pPr>
      <w:r>
        <w:rPr>
          <w:rFonts w:ascii="Times New Roman" w:cs="Times New Roman" w:eastAsia="Times New Roman" w:hAnsi="Times New Roman"/>
          <w:sz w:val="16"/>
          <w:szCs w:val="16"/>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56"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12" w:lineRule="exact"/>
        <w:rPr>
          <w:sz w:val="20"/>
          <w:szCs w:val="20"/>
          <w:color w:val="auto"/>
        </w:rPr>
      </w:pPr>
    </w:p>
    <w:p>
      <w:pPr>
        <w:ind w:right="60" w:firstLine="473"/>
        <w:spacing w:after="0" w:line="280" w:lineRule="auto"/>
        <w:rPr>
          <w:sz w:val="20"/>
          <w:szCs w:val="20"/>
          <w:color w:val="auto"/>
        </w:rPr>
      </w:pPr>
      <w:r>
        <w:rPr>
          <w:rFonts w:ascii="Times New Roman" w:cs="Times New Roman" w:eastAsia="Times New Roman" w:hAnsi="Times New Roman"/>
          <w:sz w:val="16"/>
          <w:szCs w:val="16"/>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57"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5" w:name="page56"/>
    <w:bookmarkEnd w:id="55"/>
    <w:p>
      <w:pPr>
        <w:ind w:right="440"/>
        <w:spacing w:after="0" w:line="268" w:lineRule="auto"/>
        <w:rPr>
          <w:sz w:val="20"/>
          <w:szCs w:val="20"/>
          <w:color w:val="auto"/>
        </w:rPr>
      </w:pPr>
      <w:r>
        <w:rPr>
          <w:rFonts w:ascii="Times New Roman" w:cs="Times New Roman" w:eastAsia="Times New Roman" w:hAnsi="Times New Roman"/>
          <w:sz w:val="18"/>
          <w:szCs w:val="18"/>
          <w:color w:val="auto"/>
        </w:rPr>
        <w:t>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63" w:lineRule="exact"/>
        <w:rPr>
          <w:sz w:val="20"/>
          <w:szCs w:val="20"/>
          <w:color w:val="auto"/>
        </w:rPr>
      </w:pPr>
    </w:p>
    <w:p>
      <w:pPr>
        <w:ind w:right="160" w:firstLine="473"/>
        <w:spacing w:after="0" w:line="256"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74"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84"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112" w:lineRule="exact"/>
        <w:rPr>
          <w:sz w:val="20"/>
          <w:szCs w:val="20"/>
          <w:color w:val="auto"/>
        </w:rPr>
      </w:pPr>
    </w:p>
    <w:p>
      <w:pPr>
        <w:ind w:right="60" w:firstLine="473"/>
        <w:spacing w:after="0" w:line="293" w:lineRule="auto"/>
        <w:rPr>
          <w:sz w:val="20"/>
          <w:szCs w:val="20"/>
          <w:color w:val="auto"/>
        </w:rPr>
      </w:pPr>
      <w:r>
        <w:rPr>
          <w:rFonts w:ascii="Times New Roman" w:cs="Times New Roman" w:eastAsia="Times New Roman" w:hAnsi="Times New Roman"/>
          <w:sz w:val="16"/>
          <w:szCs w:val="16"/>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48" w:lineRule="exact"/>
        <w:rPr>
          <w:sz w:val="20"/>
          <w:szCs w:val="20"/>
          <w:color w:val="auto"/>
        </w:rPr>
      </w:pPr>
    </w:p>
    <w:p>
      <w:pPr>
        <w:ind w:right="20" w:firstLine="473"/>
        <w:spacing w:after="0" w:line="245" w:lineRule="auto"/>
        <w:rPr>
          <w:sz w:val="20"/>
          <w:szCs w:val="20"/>
          <w:color w:val="auto"/>
        </w:rPr>
      </w:pPr>
      <w:r>
        <w:rPr>
          <w:rFonts w:ascii="Times New Roman" w:cs="Times New Roman" w:eastAsia="Times New Roman" w:hAnsi="Times New Roman"/>
          <w:sz w:val="18"/>
          <w:szCs w:val="18"/>
          <w:color w:val="auto"/>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89"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In addition, we derive a significant portion of our revenue from advertising in the CTV, mobile, and desktop channels, which are rapidly evolving, highly competitive, complex and fragmented. We face significant competition in these markets which we expect will intensify in the future. We face significant competition in these channels and others, such as streaming audio and digital out-of-home, which we expect will intensify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1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w:t>
      </w:r>
    </w:p>
    <w:p>
      <w:pPr>
        <w:spacing w:after="0" w:line="38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6" w:name="page57"/>
    <w:bookmarkEnd w:id="56"/>
    <w:p>
      <w:pPr>
        <w:ind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revenue declines, increase the cost of data, reduce the availability of data, reduce our ability to utilize or disclose data, adverse effects on the demand for our products and services, or other adverse business consequences.</w:t>
      </w:r>
    </w:p>
    <w:p>
      <w:pPr>
        <w:spacing w:after="0" w:line="61"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84"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Because many of these laws are new, established interpretations and best practices are still emerging. As a result, regulators could allege that our practices do not comply with such laws or regulations, despite our ongoing efforts to comply.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p>
    <w:p>
      <w:pPr>
        <w:spacing w:after="0" w:line="83"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In the United States, an ever-increasing number of laws and regulations apply to the Processing of Personal Information. In recent years, the U.S. federal and state legislatures, along with regulatory authorities at the state and federal level, have increased their focus on the collection and use of Personal Information, including relating to “interest-based,” “cross-context behavioral,” or “targeted” advertising. For example, the FTC has been very active in bringing enforcement actions against companies that handle personal data it views as sensitive for advertising purposes, including location data brokers and companies that process health-related data. These enforcement announcements signal increased ongoing regulatory scrutiny of advertising practices that involve “sensitive” categories of personal data such as health data and precise location information. The FTC could expand this focus by acting on new authority to enforce a federal law focused on disclosures of certain information it classifies as sensitive by companies operating as data brokers to certain restricted countries or entities under the control of such countries.</w:t>
      </w:r>
    </w:p>
    <w:p>
      <w:pPr>
        <w:spacing w:after="0" w:line="83" w:lineRule="exact"/>
        <w:rPr>
          <w:sz w:val="20"/>
          <w:szCs w:val="20"/>
          <w:color w:val="auto"/>
        </w:rPr>
      </w:pPr>
    </w:p>
    <w:p>
      <w:pPr>
        <w:ind w:right="100" w:firstLine="473"/>
        <w:spacing w:after="0" w:line="247" w:lineRule="auto"/>
        <w:rPr>
          <w:sz w:val="20"/>
          <w:szCs w:val="20"/>
          <w:color w:val="auto"/>
        </w:rPr>
      </w:pPr>
      <w:r>
        <w:rPr>
          <w:rFonts w:ascii="Times New Roman" w:cs="Times New Roman" w:eastAsia="Times New Roman" w:hAnsi="Times New Roman"/>
          <w:sz w:val="18"/>
          <w:szCs w:val="18"/>
          <w:color w:val="auto"/>
        </w:rPr>
        <w:t>State legislatures have also continued their focus in this area. For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Personal Information. These laws are generally enforced by each state’s attorney general with potentially steep penalties for violations.</w:t>
      </w:r>
    </w:p>
    <w:p>
      <w:pPr>
        <w:spacing w:after="0" w:line="83" w:lineRule="exact"/>
        <w:rPr>
          <w:sz w:val="20"/>
          <w:szCs w:val="20"/>
          <w:color w:val="auto"/>
        </w:rPr>
      </w:pPr>
    </w:p>
    <w:p>
      <w:pPr>
        <w:ind w:right="80" w:firstLine="473"/>
        <w:spacing w:after="0" w:line="246"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Information they process. Several states, including California and Texas, have enacted or updated laws restricting the activities of data brokers, and state attorneys general are keen to enforce these laws, such as by checking companies’ data broker registration status.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must undergo audits verifying their compliance with the Delete Act. The California Privacy Protection Agency recently released new regulations regarding the Delete Act’s data broker registration requirements including to revise the definition of “data broker.” These obligations may reduce the data available to Viant, require us to develop complex and expensive compliance tools and procedures, and may result in reductions in revenue.</w:t>
      </w:r>
    </w:p>
    <w:p>
      <w:pPr>
        <w:spacing w:after="0" w:line="88" w:lineRule="exact"/>
        <w:rPr>
          <w:sz w:val="20"/>
          <w:szCs w:val="20"/>
          <w:color w:val="auto"/>
        </w:rPr>
      </w:pPr>
    </w:p>
    <w:p>
      <w:pPr>
        <w:ind w:right="60" w:firstLine="473"/>
        <w:spacing w:after="0" w:line="288" w:lineRule="auto"/>
        <w:rPr>
          <w:sz w:val="20"/>
          <w:szCs w:val="20"/>
          <w:color w:val="auto"/>
        </w:rPr>
      </w:pPr>
      <w:r>
        <w:rPr>
          <w:rFonts w:ascii="Times New Roman" w:cs="Times New Roman" w:eastAsia="Times New Roman" w:hAnsi="Times New Roman"/>
          <w:sz w:val="16"/>
          <w:szCs w:val="16"/>
          <w:color w:val="auto"/>
        </w:rPr>
        <w:t>Lawmakers, regulators, and advocates also continue to focus on activities involving the use of certain types of Personal Information perceived as especially sensitive, such as children’s data, health data, and location data, which will impact the advertising industry. For example, the FTC actively enforces the Children's Online Privacy Protection Act of 1998 ("COPPA") and recently updated and expanded certain parts of the law, such as by requiring separate consent to disclose children’s personal information to third parties. Additionally, several State Privacy Laws have increased the age at which a consumer can be shown targeted ads (without opt-in consent) from 13 to 16 or 18 years of age, and other state laws may ban targeted advertising to minors outright.</w:t>
      </w:r>
    </w:p>
    <w:p>
      <w:pPr>
        <w:spacing w:after="0" w:line="53" w:lineRule="exact"/>
        <w:rPr>
          <w:sz w:val="20"/>
          <w:szCs w:val="20"/>
          <w:color w:val="auto"/>
        </w:rPr>
      </w:pPr>
    </w:p>
    <w:p>
      <w:pPr>
        <w:ind w:right="300" w:firstLine="473"/>
        <w:spacing w:after="0" w:line="256" w:lineRule="auto"/>
        <w:rPr>
          <w:sz w:val="20"/>
          <w:szCs w:val="20"/>
          <w:color w:val="auto"/>
        </w:rPr>
      </w:pPr>
      <w:r>
        <w:rPr>
          <w:rFonts w:ascii="Times New Roman" w:cs="Times New Roman" w:eastAsia="Times New Roman" w:hAnsi="Times New Roman"/>
          <w:sz w:val="18"/>
          <w:szCs w:val="18"/>
          <w:color w:val="auto"/>
        </w:rPr>
        <w:t>Related to consumer health information, the Washington state My Health My Data Act ("MHMD") introduced a host of new requirements covering a very broadly defined notion of consumer health data, including obligations on disclosures of such data that will impact the advertising industry. MHMD is subject to a private right of action, and plaintiffs’ attorneys could explore claims</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57" w:name="page58"/>
    <w:bookmarkEnd w:id="57"/>
    <w:p>
      <w:pPr>
        <w:ind w:right="100"/>
        <w:spacing w:after="0" w:line="268" w:lineRule="auto"/>
        <w:rPr>
          <w:sz w:val="20"/>
          <w:szCs w:val="20"/>
          <w:color w:val="auto"/>
        </w:rPr>
      </w:pPr>
      <w:r>
        <w:rPr>
          <w:rFonts w:ascii="Times New Roman" w:cs="Times New Roman" w:eastAsia="Times New Roman" w:hAnsi="Times New Roman"/>
          <w:sz w:val="18"/>
          <w:szCs w:val="18"/>
          <w:color w:val="auto"/>
        </w:rPr>
        <w:t>testing the bounds of the law’s text. Other states (e.g., Nevada) have enacted a similar law (though without a private right of action), and we expect more states will follow.</w:t>
      </w:r>
    </w:p>
    <w:p>
      <w:pPr>
        <w:spacing w:after="0" w:line="63"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and could be costly to settle or litigate, regardless of the merit of the claim, and may result in significant monetary liability. In order to comply with the varying state data breach reporting laws, we must maintain adequate security measures, which require significant investments in resources and ongoing attention.</w:t>
      </w:r>
    </w:p>
    <w:p>
      <w:pPr>
        <w:spacing w:after="0" w:line="86" w:lineRule="exact"/>
        <w:rPr>
          <w:sz w:val="20"/>
          <w:szCs w:val="20"/>
          <w:color w:val="auto"/>
        </w:rPr>
      </w:pPr>
    </w:p>
    <w:p>
      <w:pPr>
        <w:ind w:right="120" w:firstLine="473"/>
        <w:spacing w:after="0" w:line="282" w:lineRule="auto"/>
        <w:rPr>
          <w:sz w:val="20"/>
          <w:szCs w:val="20"/>
          <w:color w:val="auto"/>
        </w:rPr>
      </w:pPr>
      <w:r>
        <w:rPr>
          <w:rFonts w:ascii="Times New Roman" w:cs="Times New Roman" w:eastAsia="Times New Roman" w:hAnsi="Times New Roman"/>
          <w:sz w:val="16"/>
          <w:szCs w:val="16"/>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certain Processing of European Personal Information, respectively, in the EEA and the UK. The applicability analysis under the GDPR is complex, but if we were deemed to operate our business in a manner subject to GDPR, the GDPR provides for significant penalties for noncompliance of up to the greater of €20 million under the EU GDPR / 17.2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EU member states may assess other penalties for noncompliance on companies subject to GDPR.</w:t>
      </w:r>
    </w:p>
    <w:p>
      <w:pPr>
        <w:spacing w:after="0" w:line="58" w:lineRule="exact"/>
        <w:rPr>
          <w:sz w:val="20"/>
          <w:szCs w:val="20"/>
          <w:color w:val="auto"/>
        </w:rPr>
      </w:pPr>
    </w:p>
    <w:p>
      <w:pPr>
        <w:ind w:right="220" w:firstLine="473"/>
        <w:spacing w:after="0" w:line="268"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63" w:lineRule="exact"/>
        <w:rPr>
          <w:sz w:val="20"/>
          <w:szCs w:val="20"/>
          <w:color w:val="auto"/>
        </w:rPr>
      </w:pPr>
    </w:p>
    <w:p>
      <w:pPr>
        <w:ind w:right="60" w:firstLine="473"/>
        <w:spacing w:after="0" w:line="252"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such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77" w:lineRule="exact"/>
        <w:rPr>
          <w:sz w:val="20"/>
          <w:szCs w:val="20"/>
          <w:color w:val="auto"/>
        </w:rPr>
      </w:pPr>
    </w:p>
    <w:p>
      <w:pPr>
        <w:ind w:right="140" w:firstLine="473"/>
        <w:spacing w:after="0" w:line="285" w:lineRule="auto"/>
        <w:rPr>
          <w:sz w:val="20"/>
          <w:szCs w:val="20"/>
          <w:color w:val="auto"/>
        </w:rPr>
      </w:pPr>
      <w:r>
        <w:rPr>
          <w:rFonts w:ascii="Times New Roman" w:cs="Times New Roman" w:eastAsia="Times New Roman" w:hAnsi="Times New Roman"/>
          <w:sz w:val="16"/>
          <w:szCs w:val="16"/>
          <w:color w:val="auto"/>
        </w:rPr>
        <w:t>Furthermore, we may be unable to transfer Personal Information from Europe and other jurisdictions to the United States or other countries due to data localization requirements or limitations on cross-border transfers of Personal Information. In particular, the EEA and UK have significantly restricted the transfer of Personal Information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Information from the EEA and UK to the United States in compliance with law, these mechanisms are subject to ongoing legal challenges.</w:t>
      </w:r>
    </w:p>
    <w:p>
      <w:pPr>
        <w:spacing w:after="0" w:line="56" w:lineRule="exact"/>
        <w:rPr>
          <w:sz w:val="20"/>
          <w:szCs w:val="20"/>
          <w:color w:val="auto"/>
        </w:rPr>
      </w:pPr>
    </w:p>
    <w:p>
      <w:pPr>
        <w:ind w:right="100" w:firstLine="473"/>
        <w:spacing w:after="0" w:line="247"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Information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83"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our business offers services that utilize generative AI, and such usage may be subject to various laws and other obligations, including those related to privacy, and governments have passed and are likely to pass additional laws regulating generative AI. For example, the California Privacy Protection Agency is in the process of promulgating regulatory requirements relating to automated decision-making technologies.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84" w:lineRule="exact"/>
        <w:rPr>
          <w:sz w:val="20"/>
          <w:szCs w:val="20"/>
          <w:color w:val="auto"/>
        </w:rPr>
      </w:pPr>
    </w:p>
    <w:p>
      <w:pPr>
        <w:ind w:right="120" w:firstLine="473"/>
        <w:spacing w:after="0" w:line="252"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the Digital Advertising Alliance, and their international counterparts, apply to many players in the advertising technology ecosystem.</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8" w:name="page59"/>
    <w:bookmarkEnd w:id="58"/>
    <w:p>
      <w:pPr>
        <w:ind w:right="80"/>
        <w:spacing w:after="0" w:line="252" w:lineRule="auto"/>
        <w:rPr>
          <w:sz w:val="20"/>
          <w:szCs w:val="20"/>
          <w:color w:val="auto"/>
        </w:rPr>
      </w:pPr>
      <w:r>
        <w:rPr>
          <w:rFonts w:ascii="Times New Roman" w:cs="Times New Roman" w:eastAsia="Times New Roman" w:hAnsi="Times New Roman"/>
          <w:sz w:val="18"/>
          <w:szCs w:val="18"/>
          <w:color w:val="auto"/>
        </w:rPr>
        <w:t>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 w:cs="Times New Roman" w:eastAsia="Times New Roman" w:hAnsi="Times New Roman"/>
          <w:sz w:val="18"/>
          <w:szCs w:val="18"/>
          <w:i w:val="1"/>
          <w:iCs w:val="1"/>
          <w:color w:val="auto"/>
        </w:rPr>
        <w:t>Our business or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 our platform could be impacted by changes in technology initiated by technology companies, end users, or government regulation. Such developments, including the restriction of “third-party cookies,” could cause instability in the advertising technology industry</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right="420" w:firstLine="473"/>
        <w:spacing w:after="0" w:line="252"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7" w:lineRule="exact"/>
        <w:rPr>
          <w:sz w:val="20"/>
          <w:szCs w:val="20"/>
          <w:color w:val="auto"/>
        </w:rPr>
      </w:pPr>
    </w:p>
    <w:p>
      <w:pPr>
        <w:ind w:right="100" w:firstLine="473"/>
        <w:spacing w:after="0" w:line="247"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83" w:lineRule="exact"/>
        <w:rPr>
          <w:sz w:val="20"/>
          <w:szCs w:val="20"/>
          <w:color w:val="auto"/>
        </w:rPr>
      </w:pPr>
    </w:p>
    <w:p>
      <w:pPr>
        <w:ind w:right="60" w:firstLine="473"/>
        <w:spacing w:after="0" w:line="246"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87" w:lineRule="exact"/>
        <w:rPr>
          <w:sz w:val="20"/>
          <w:szCs w:val="20"/>
          <w:color w:val="auto"/>
        </w:rPr>
      </w:pPr>
    </w:p>
    <w:p>
      <w:pPr>
        <w:jc w:val="both"/>
        <w:ind w:right="20" w:firstLine="473"/>
        <w:spacing w:after="0" w:line="256"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right="300" w:firstLine="473"/>
        <w:spacing w:after="0" w:line="256" w:lineRule="auto"/>
        <w:rPr>
          <w:sz w:val="20"/>
          <w:szCs w:val="20"/>
          <w:color w:val="auto"/>
        </w:rPr>
      </w:pPr>
      <w:r>
        <w:rPr>
          <w:rFonts w:ascii="Times New Roman" w:cs="Times New Roman" w:eastAsia="Times New Roman" w:hAnsi="Times New Roman"/>
          <w:sz w:val="18"/>
          <w:szCs w:val="18"/>
          <w:color w:val="auto"/>
        </w:rPr>
        <w:t>Plaintiffs have also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spacing w:after="0" w:line="175" w:lineRule="exact"/>
        <w:rPr>
          <w:sz w:val="20"/>
          <w:szCs w:val="20"/>
          <w:color w:val="auto"/>
        </w:rPr>
      </w:pPr>
    </w:p>
    <w:p>
      <w:pPr>
        <w:ind w:right="24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13" w:lineRule="exact"/>
        <w:rPr>
          <w:sz w:val="20"/>
          <w:szCs w:val="20"/>
          <w:color w:val="auto"/>
        </w:rPr>
      </w:pPr>
    </w:p>
    <w:p>
      <w:pPr>
        <w:ind w:firstLine="473"/>
        <w:spacing w:after="0" w:line="282" w:lineRule="auto"/>
        <w:rPr>
          <w:sz w:val="20"/>
          <w:szCs w:val="20"/>
          <w:color w:val="auto"/>
        </w:rPr>
      </w:pPr>
      <w:r>
        <w:rPr>
          <w:rFonts w:ascii="Times New Roman" w:cs="Times New Roman" w:eastAsia="Times New Roman" w:hAnsi="Times New Roman"/>
          <w:sz w:val="16"/>
          <w:szCs w:val="16"/>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58" w:lineRule="exact"/>
        <w:rPr>
          <w:sz w:val="20"/>
          <w:szCs w:val="20"/>
          <w:color w:val="auto"/>
        </w:rPr>
      </w:pPr>
    </w:p>
    <w:p>
      <w:pPr>
        <w:ind w:right="80" w:firstLine="473"/>
        <w:spacing w:after="0" w:line="252"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9" w:name="page60"/>
    <w:bookmarkEnd w:id="59"/>
    <w:p>
      <w:pPr>
        <w:ind w:right="20"/>
        <w:spacing w:after="0" w:line="278" w:lineRule="auto"/>
        <w:rPr>
          <w:sz w:val="20"/>
          <w:szCs w:val="20"/>
          <w:color w:val="auto"/>
        </w:rPr>
      </w:pPr>
      <w:r>
        <w:rPr>
          <w:rFonts w:ascii="Times New Roman" w:cs="Times New Roman" w:eastAsia="Times New Roman" w:hAnsi="Times New Roman"/>
          <w:sz w:val="16"/>
          <w:szCs w:val="16"/>
          <w:color w:val="auto"/>
        </w:rPr>
        <w:t>as "cookies"). Although we believe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 Google has committed to enhancing its “Privacy Sandbox” label, which may result in modified targeting and measurement functionality to digital advertising ecosystem participants, and the introduction of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HHID and IRIS_ID,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276"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Privacy aspects of other channels for programmatic advertising, such as CTVs or over-the-top video, are still developing. Technical or policy changes, including regulation or industry self-regulation, could harm our growth in those channels.</w:t>
      </w:r>
    </w:p>
    <w:p>
      <w:pPr>
        <w:spacing w:after="0" w:line="84" w:lineRule="exact"/>
        <w:rPr>
          <w:sz w:val="20"/>
          <w:szCs w:val="20"/>
          <w:color w:val="auto"/>
        </w:rPr>
      </w:pPr>
    </w:p>
    <w:p>
      <w:pPr>
        <w:ind w:firstLine="473"/>
        <w:spacing w:after="0" w:line="285" w:lineRule="auto"/>
        <w:rPr>
          <w:sz w:val="20"/>
          <w:szCs w:val="20"/>
          <w:color w:val="auto"/>
        </w:rPr>
      </w:pPr>
      <w:r>
        <w:rPr>
          <w:rFonts w:ascii="Times New Roman" w:cs="Times New Roman" w:eastAsia="Times New Roman" w:hAnsi="Times New Roman"/>
          <w:sz w:val="16"/>
          <w:szCs w:val="16"/>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state Attorneys General, as well as privacy advocates, have raised significant concerns around observed data and targeted advertising. This has led to an array of laws and pending legislation permitting individuals to exercise the ability to opt-out of targeted advertising and the introduction of technologies introduced to address these concerns, and individuals are increasingly aware of these options. For example, several of the State Privacy Laws obligate companies to honor requests to opt out of targeted advertising or sales of personal information transmitted via user-enabled Global Privacy Control.</w:t>
      </w:r>
    </w:p>
    <w:p>
      <w:pPr>
        <w:spacing w:after="0" w:line="56"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6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61" w:lineRule="exact"/>
        <w:rPr>
          <w:sz w:val="20"/>
          <w:szCs w:val="20"/>
          <w:color w:val="auto"/>
        </w:rPr>
      </w:pPr>
    </w:p>
    <w:p>
      <w:pPr>
        <w:jc w:val="both"/>
        <w:ind w:right="320" w:firstLine="473"/>
        <w:spacing w:after="0" w:line="252"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7"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0" w:name="page61"/>
    <w:bookmarkEnd w:id="60"/>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7" w:lineRule="exact"/>
        <w:rPr>
          <w:sz w:val="20"/>
          <w:szCs w:val="20"/>
          <w:color w:val="auto"/>
        </w:rPr>
      </w:pPr>
    </w:p>
    <w:p>
      <w:pPr>
        <w:jc w:val="both"/>
        <w:ind w:right="100" w:firstLine="473"/>
        <w:spacing w:after="0" w:line="256"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spacing w:after="0" w:line="74"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88" w:lineRule="exact"/>
        <w:rPr>
          <w:sz w:val="20"/>
          <w:szCs w:val="20"/>
          <w:color w:val="auto"/>
        </w:rPr>
      </w:pPr>
    </w:p>
    <w:p>
      <w:pPr>
        <w:ind w:right="360" w:firstLine="473"/>
        <w:spacing w:after="0" w:line="252"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7" w:lineRule="exact"/>
        <w:rPr>
          <w:sz w:val="20"/>
          <w:szCs w:val="20"/>
          <w:color w:val="auto"/>
        </w:rPr>
      </w:pPr>
    </w:p>
    <w:p>
      <w:pPr>
        <w:ind w:right="480" w:firstLine="473"/>
        <w:spacing w:after="0" w:line="331" w:lineRule="auto"/>
        <w:rPr>
          <w:sz w:val="20"/>
          <w:szCs w:val="20"/>
          <w:color w:val="auto"/>
        </w:rPr>
      </w:pPr>
      <w:r>
        <w:rPr>
          <w:rFonts w:ascii="Times New Roman" w:cs="Times New Roman" w:eastAsia="Times New Roman" w:hAnsi="Times New Roman"/>
          <w:sz w:val="16"/>
          <w:szCs w:val="16"/>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8" w:lineRule="exact"/>
        <w:rPr>
          <w:sz w:val="20"/>
          <w:szCs w:val="20"/>
          <w:color w:val="auto"/>
        </w:rPr>
      </w:pPr>
    </w:p>
    <w:p>
      <w:pPr>
        <w:ind w:right="520" w:firstLine="473"/>
        <w:spacing w:after="0" w:line="268"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63" w:lineRule="exact"/>
        <w:rPr>
          <w:sz w:val="20"/>
          <w:szCs w:val="20"/>
          <w:color w:val="auto"/>
        </w:rPr>
      </w:pPr>
    </w:p>
    <w:p>
      <w:pPr>
        <w:ind w:right="60" w:firstLine="473"/>
        <w:spacing w:after="0" w:line="249"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Data, or business. There can also be no assurance that our cybersecurity risk management program and processes, including our policies, controls, or procedures, will be fully implemented, complied with or effective in protecting our IT Systems and Confidential Data.</w:t>
      </w:r>
    </w:p>
    <w:p>
      <w:pPr>
        <w:spacing w:after="0" w:line="83"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3" w:lineRule="exact"/>
        <w:rPr>
          <w:sz w:val="20"/>
          <w:szCs w:val="20"/>
          <w:color w:val="auto"/>
        </w:rPr>
      </w:pPr>
    </w:p>
    <w:p>
      <w:pPr>
        <w:ind w:right="120" w:firstLine="473"/>
        <w:spacing w:after="0" w:line="248"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84" w:lineRule="exact"/>
        <w:rPr>
          <w:sz w:val="20"/>
          <w:szCs w:val="20"/>
          <w:color w:val="auto"/>
        </w:rPr>
      </w:pPr>
    </w:p>
    <w:p>
      <w:pPr>
        <w:ind w:right="40" w:firstLine="473"/>
        <w:spacing w:after="0" w:line="256"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1" w:name="page62"/>
    <w:bookmarkEnd w:id="61"/>
    <w:p>
      <w:pPr>
        <w:ind w:right="160"/>
        <w:spacing w:after="0" w:line="268" w:lineRule="auto"/>
        <w:rPr>
          <w:sz w:val="20"/>
          <w:szCs w:val="20"/>
          <w:color w:val="auto"/>
        </w:rPr>
      </w:pPr>
      <w:r>
        <w:rPr>
          <w:rFonts w:ascii="Times New Roman" w:cs="Times New Roman" w:eastAsia="Times New Roman" w:hAnsi="Times New Roman"/>
          <w:sz w:val="18"/>
          <w:szCs w:val="18"/>
          <w:color w:val="auto"/>
        </w:rPr>
        <w:t>to mitigate liabilities arising out of our privacy and security practices, that such coverage will continue to be available on commercially reasonable terms or at all, or that such coverage will pay future claims.</w:t>
      </w:r>
    </w:p>
    <w:p>
      <w:pPr>
        <w:spacing w:after="0" w:line="63"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spacing w:after="0" w:line="77" w:lineRule="exact"/>
        <w:rPr>
          <w:sz w:val="20"/>
          <w:szCs w:val="20"/>
          <w:color w:val="auto"/>
        </w:rPr>
      </w:pPr>
    </w:p>
    <w:p>
      <w:pPr>
        <w:ind w:right="60" w:firstLine="473"/>
        <w:spacing w:after="0" w:line="293" w:lineRule="auto"/>
        <w:rPr>
          <w:sz w:val="20"/>
          <w:szCs w:val="20"/>
          <w:color w:val="auto"/>
        </w:rPr>
      </w:pPr>
      <w:r>
        <w:rPr>
          <w:rFonts w:ascii="Times New Roman" w:cs="Times New Roman" w:eastAsia="Times New Roman" w:hAnsi="Times New Roman"/>
          <w:sz w:val="16"/>
          <w:szCs w:val="16"/>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48" w:lineRule="exact"/>
        <w:rPr>
          <w:sz w:val="20"/>
          <w:szCs w:val="20"/>
          <w:color w:val="auto"/>
        </w:rPr>
      </w:pPr>
    </w:p>
    <w:p>
      <w:pPr>
        <w:ind w:right="20" w:firstLine="473"/>
        <w:spacing w:after="0" w:line="249"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8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result in the benefits we anticipate for our business, and may result in a decline in performance of our products, services and business, as well as our reputation and the reputations of our customers, or cause us to incur liability resulting from the violation of laws or contracts to which we are a party.</w:t>
      </w:r>
    </w:p>
    <w:p>
      <w:pPr>
        <w:spacing w:after="0" w:line="73" w:lineRule="exact"/>
        <w:rPr>
          <w:sz w:val="20"/>
          <w:szCs w:val="20"/>
          <w:color w:val="auto"/>
        </w:rPr>
      </w:pPr>
    </w:p>
    <w:p>
      <w:pPr>
        <w:ind w:right="60" w:firstLine="473"/>
        <w:spacing w:after="0" w:line="285" w:lineRule="auto"/>
        <w:rPr>
          <w:sz w:val="20"/>
          <w:szCs w:val="20"/>
          <w:color w:val="auto"/>
        </w:rPr>
      </w:pPr>
      <w:r>
        <w:rPr>
          <w:rFonts w:ascii="Times New Roman" w:cs="Times New Roman" w:eastAsia="Times New Roman" w:hAnsi="Times New Roman"/>
          <w:sz w:val="16"/>
          <w:szCs w:val="16"/>
          <w:color w:val="auto"/>
        </w:rPr>
        <w:t>We use AI, machine learning, and automated decision-making technologies, including our ViantAI product suite, (collectively, “AI Technologies”) throughout our business, and are making significant investments in this area. For example, our ViantAI suite currently includes AI Planning, which enables media planners to design high-impact campaigns in seconds, AI Bidding, which optimizes inventory costs by lowering the effective cost per mille ("eCPM") through automated bid adjustments, and AI Measurement and Analysis, our recently released offering which provides accessible measurement and insights via a user-friendly chat interface. Looking ahead, our ViantAI product roadmap features AI Decisioning, which is intended to empower an AI agent to dynamically optimize campaigns in real-time by leveraging advanced ad strategies such as channel allocation, publisher selection, dayparting, and audience discovery.</w:t>
      </w:r>
    </w:p>
    <w:p>
      <w:pPr>
        <w:spacing w:after="0" w:line="56" w:lineRule="exact"/>
        <w:rPr>
          <w:sz w:val="20"/>
          <w:szCs w:val="20"/>
          <w:color w:val="auto"/>
        </w:rPr>
      </w:pPr>
    </w:p>
    <w:p>
      <w:pPr>
        <w:ind w:right="80" w:firstLine="473"/>
        <w:spacing w:after="0" w:line="303" w:lineRule="auto"/>
        <w:rPr>
          <w:sz w:val="20"/>
          <w:szCs w:val="20"/>
          <w:color w:val="auto"/>
        </w:rPr>
      </w:pPr>
      <w:r>
        <w:rPr>
          <w:rFonts w:ascii="Times New Roman" w:cs="Times New Roman" w:eastAsia="Times New Roman" w:hAnsi="Times New Roman"/>
          <w:sz w:val="16"/>
          <w:szCs w:val="16"/>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39"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84" w:lineRule="exact"/>
        <w:rPr>
          <w:sz w:val="20"/>
          <w:szCs w:val="20"/>
          <w:color w:val="auto"/>
        </w:rPr>
      </w:pPr>
    </w:p>
    <w:p>
      <w:pPr>
        <w:ind w:right="120" w:firstLine="473"/>
        <w:spacing w:after="0" w:line="285" w:lineRule="auto"/>
        <w:rPr>
          <w:sz w:val="20"/>
          <w:szCs w:val="20"/>
          <w:color w:val="auto"/>
        </w:rPr>
      </w:pPr>
      <w:r>
        <w:rPr>
          <w:rFonts w:ascii="Times New Roman" w:cs="Times New Roman" w:eastAsia="Times New Roman" w:hAnsi="Times New Roman"/>
          <w:sz w:val="16"/>
          <w:szCs w:val="16"/>
          <w:color w:val="auto"/>
        </w:rPr>
        <w:t>With respect to our solutions that incorporate AI Technology,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solutions that incorporate AI Technology is uncertain. Our failure to successfully develop and commercialize solutions involving AI Technologies could depress the market price of our stock and impair our ability to: raise capital; expand our business; provide, improve and diversify our solutions; continue our operations and efficiently manage our operating expenses; and respond effectively to competitive developments.</w:t>
      </w:r>
    </w:p>
    <w:p>
      <w:pPr>
        <w:spacing w:after="0" w:line="56" w:lineRule="exact"/>
        <w:rPr>
          <w:sz w:val="20"/>
          <w:szCs w:val="20"/>
          <w:color w:val="auto"/>
        </w:rPr>
      </w:pPr>
    </w:p>
    <w:p>
      <w:pPr>
        <w:ind w:right="120" w:firstLine="473"/>
        <w:spacing w:after="0" w:line="285" w:lineRule="auto"/>
        <w:rPr>
          <w:sz w:val="20"/>
          <w:szCs w:val="20"/>
          <w:color w:val="auto"/>
        </w:rPr>
      </w:pPr>
      <w:r>
        <w:rPr>
          <w:rFonts w:ascii="Times New Roman" w:cs="Times New Roman" w:eastAsia="Times New Roman" w:hAnsi="Times New Roman"/>
          <w:sz w:val="16"/>
          <w:szCs w:val="16"/>
          <w:color w:val="auto"/>
        </w:rPr>
        <w:t>In addition to our ViantAI product suite, we use AI Technologies licensed from third parties in our solutions and our operations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w:t>
      </w:r>
    </w:p>
    <w:p>
      <w:pPr>
        <w:spacing w:after="0" w:line="3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2" w:name="page63"/>
    <w:bookmarkEnd w:id="62"/>
    <w:p>
      <w:pPr>
        <w:ind w:right="240"/>
        <w:spacing w:after="0" w:line="331" w:lineRule="auto"/>
        <w:rPr>
          <w:sz w:val="20"/>
          <w:szCs w:val="20"/>
          <w:color w:val="auto"/>
        </w:rPr>
      </w:pPr>
      <w:r>
        <w:rPr>
          <w:rFonts w:ascii="Times New Roman" w:cs="Times New Roman" w:eastAsia="Times New Roman" w:hAnsi="Times New Roman"/>
          <w:sz w:val="16"/>
          <w:szCs w:val="16"/>
          <w:color w:val="auto"/>
        </w:rPr>
        <w:t>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19"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61" w:lineRule="exact"/>
        <w:rPr>
          <w:sz w:val="20"/>
          <w:szCs w:val="20"/>
          <w:color w:val="auto"/>
        </w:rPr>
      </w:pPr>
    </w:p>
    <w:p>
      <w:pPr>
        <w:ind w:right="20" w:firstLine="473"/>
        <w:spacing w:after="0" w:line="280" w:lineRule="auto"/>
        <w:rPr>
          <w:sz w:val="20"/>
          <w:szCs w:val="20"/>
          <w:color w:val="auto"/>
        </w:rPr>
      </w:pPr>
      <w:r>
        <w:rPr>
          <w:rFonts w:ascii="Times New Roman" w:cs="Times New Roman" w:eastAsia="Times New Roman" w:hAnsi="Times New Roman"/>
          <w:sz w:val="16"/>
          <w:szCs w:val="16"/>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the laws, procedures and restrictions may provide only limited protection, and protection may not be available for some of our technology, in particular technology that uses open-source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62" w:lineRule="exact"/>
        <w:rPr>
          <w:sz w:val="20"/>
          <w:szCs w:val="20"/>
          <w:color w:val="auto"/>
        </w:rPr>
      </w:pPr>
    </w:p>
    <w:p>
      <w:pPr>
        <w:ind w:right="280" w:firstLine="473"/>
        <w:spacing w:after="0" w:line="248"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84" w:lineRule="exact"/>
        <w:rPr>
          <w:sz w:val="20"/>
          <w:szCs w:val="20"/>
          <w:color w:val="auto"/>
        </w:rPr>
      </w:pPr>
    </w:p>
    <w:p>
      <w:pPr>
        <w:jc w:val="both"/>
        <w:ind w:right="80" w:firstLine="473"/>
        <w:spacing w:after="0" w:line="252"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8"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61" w:lineRule="exact"/>
        <w:rPr>
          <w:sz w:val="20"/>
          <w:szCs w:val="20"/>
          <w:color w:val="auto"/>
        </w:rPr>
      </w:pPr>
    </w:p>
    <w:p>
      <w:pPr>
        <w:ind w:firstLine="473"/>
        <w:spacing w:after="0" w:line="278" w:lineRule="auto"/>
        <w:rPr>
          <w:sz w:val="20"/>
          <w:szCs w:val="20"/>
          <w:color w:val="auto"/>
        </w:rPr>
      </w:pPr>
      <w:r>
        <w:rPr>
          <w:rFonts w:ascii="Times New Roman" w:cs="Times New Roman" w:eastAsia="Times New Roman" w:hAnsi="Times New Roman"/>
          <w:sz w:val="16"/>
          <w:szCs w:val="16"/>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have and may continue to aggressively assert their rights in order to extract value from us.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diverts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12"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63" w:name="page64"/>
    <w:bookmarkEnd w:id="63"/>
    <w:p>
      <w:pPr>
        <w:ind w:right="200"/>
        <w:spacing w:after="0" w:line="252" w:lineRule="auto"/>
        <w:rPr>
          <w:sz w:val="20"/>
          <w:szCs w:val="20"/>
          <w:color w:val="auto"/>
        </w:rPr>
      </w:pPr>
      <w:r>
        <w:rPr>
          <w:rFonts w:ascii="Times New Roman" w:cs="Times New Roman" w:eastAsia="Times New Roman" w:hAnsi="Times New Roman"/>
          <w:sz w:val="18"/>
          <w:szCs w:val="18"/>
          <w:color w:val="auto"/>
        </w:rPr>
        <w:t>whether we are permitted to deliver, or review the content of, such advertisements. If clients do not have the rights necessary to serve 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1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61"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25.8% of the membership interests of Viant Technology LLC as of June 30, 2025. We do not have any independent means of generating revenue or cash flow, and our ability to pay dividends in the future, if any, will depend upon the financial results and cash flows of Viant Technology LLC.</w:t>
      </w:r>
    </w:p>
    <w:p>
      <w:pPr>
        <w:spacing w:after="0" w:line="77" w:lineRule="exact"/>
        <w:rPr>
          <w:sz w:val="20"/>
          <w:szCs w:val="20"/>
          <w:color w:val="auto"/>
        </w:rPr>
      </w:pPr>
    </w:p>
    <w:p>
      <w:pPr>
        <w:ind w:firstLine="473"/>
        <w:spacing w:after="0" w:line="245"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spacing w:after="0" w:line="92" w:lineRule="exact"/>
        <w:rPr>
          <w:sz w:val="20"/>
          <w:szCs w:val="20"/>
          <w:color w:val="auto"/>
        </w:rPr>
      </w:pPr>
    </w:p>
    <w:p>
      <w:pPr>
        <w:ind w:right="440" w:firstLine="473"/>
        <w:spacing w:after="0" w:line="25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73" w:lineRule="exact"/>
        <w:rPr>
          <w:sz w:val="20"/>
          <w:szCs w:val="20"/>
          <w:color w:val="auto"/>
        </w:rPr>
      </w:pPr>
    </w:p>
    <w:p>
      <w:pPr>
        <w:ind w:right="180" w:firstLine="473"/>
        <w:spacing w:after="0" w:line="285" w:lineRule="auto"/>
        <w:rPr>
          <w:sz w:val="20"/>
          <w:szCs w:val="20"/>
          <w:color w:val="auto"/>
        </w:rPr>
      </w:pPr>
      <w:r>
        <w:rPr>
          <w:rFonts w:ascii="Times New Roman" w:cs="Times New Roman" w:eastAsia="Times New Roman" w:hAnsi="Times New Roman"/>
          <w:sz w:val="16"/>
          <w:szCs w:val="16"/>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w:t>
      </w:r>
    </w:p>
    <w:p>
      <w:pPr>
        <w:spacing w:after="0" w:line="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83" w:lineRule="exact"/>
        <w:rPr>
          <w:sz w:val="20"/>
          <w:szCs w:val="20"/>
          <w:color w:val="auto"/>
        </w:rPr>
      </w:pPr>
    </w:p>
    <w:p>
      <w:pPr>
        <w:ind w:right="80" w:firstLine="473"/>
        <w:spacing w:after="0" w:line="246"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4" w:name="page65"/>
    <w:bookmarkEnd w:id="64"/>
    <w:p>
      <w:pPr>
        <w:ind w:right="480"/>
        <w:spacing w:after="0" w:line="268" w:lineRule="auto"/>
        <w:rPr>
          <w:sz w:val="20"/>
          <w:szCs w:val="20"/>
          <w:color w:val="auto"/>
        </w:rPr>
      </w:pPr>
      <w:r>
        <w:rPr>
          <w:rFonts w:ascii="Times New Roman" w:cs="Times New Roman" w:eastAsia="Times New Roman" w:hAnsi="Times New Roman"/>
          <w:sz w:val="18"/>
          <w:szCs w:val="18"/>
          <w:color w:val="auto"/>
        </w:rPr>
        <w:t>payments under the Tax Receivable Agreement are also not conditioned upon the continuing members of Viant Technology LLC maintaining a continued ownership interest in Viant Technology LLC.</w:t>
      </w:r>
    </w:p>
    <w:p>
      <w:pPr>
        <w:spacing w:after="0" w:line="63" w:lineRule="exact"/>
        <w:rPr>
          <w:sz w:val="20"/>
          <w:szCs w:val="20"/>
          <w:color w:val="auto"/>
        </w:rPr>
      </w:pPr>
    </w:p>
    <w:p>
      <w:pPr>
        <w:ind w:firstLine="473"/>
        <w:spacing w:after="0" w:line="279" w:lineRule="auto"/>
        <w:rPr>
          <w:sz w:val="20"/>
          <w:szCs w:val="20"/>
          <w:color w:val="auto"/>
        </w:rPr>
      </w:pPr>
      <w:r>
        <w:rPr>
          <w:rFonts w:ascii="Times New Roman" w:cs="Times New Roman" w:eastAsia="Times New Roman" w:hAnsi="Times New Roman"/>
          <w:sz w:val="16"/>
          <w:szCs w:val="16"/>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 result no liability has been recorded related to the remaining tax savings we may realize from utilization of such deferred tax assets. If deferred tax assets subject to the TRA become more likely than not to be realized, we will record such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37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61" w:lineRule="exact"/>
        <w:rPr>
          <w:sz w:val="20"/>
          <w:szCs w:val="20"/>
          <w:color w:val="auto"/>
        </w:rPr>
      </w:pPr>
    </w:p>
    <w:p>
      <w:pPr>
        <w:ind w:firstLine="473"/>
        <w:spacing w:after="0" w:line="245" w:lineRule="auto"/>
        <w:rPr>
          <w:sz w:val="20"/>
          <w:szCs w:val="20"/>
          <w:color w:val="auto"/>
        </w:rPr>
      </w:pPr>
      <w:r>
        <w:rPr>
          <w:rFonts w:ascii="Times New Roman" w:cs="Times New Roman" w:eastAsia="Times New Roman" w:hAnsi="Times New Roman"/>
          <w:sz w:val="18"/>
          <w:szCs w:val="18"/>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87"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7"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61" w:lineRule="exact"/>
        <w:rPr>
          <w:sz w:val="20"/>
          <w:szCs w:val="20"/>
          <w:color w:val="auto"/>
        </w:rPr>
      </w:pPr>
    </w:p>
    <w:p>
      <w:pPr>
        <w:jc w:val="both"/>
        <w:ind w:right="180" w:firstLine="473"/>
        <w:spacing w:after="0" w:line="256"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5" w:name="page66"/>
    <w:bookmarkEnd w:id="65"/>
    <w:p>
      <w:pPr>
        <w:spacing w:after="0" w:line="246" w:lineRule="auto"/>
        <w:rPr>
          <w:sz w:val="20"/>
          <w:szCs w:val="20"/>
          <w:color w:val="auto"/>
        </w:rPr>
      </w:pPr>
      <w:r>
        <w:rPr>
          <w:rFonts w:ascii="Times New Roman" w:cs="Times New Roman" w:eastAsia="Times New Roman" w:hAnsi="Times New Roman"/>
          <w:sz w:val="18"/>
          <w:szCs w:val="18"/>
          <w:color w:val="auto"/>
        </w:rPr>
        <w:t>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190"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us and the existing members of Viant Technology LLC, and the distributions that Viant Technology LLC will be required to make may be substantial.</w:t>
      </w:r>
    </w:p>
    <w:p>
      <w:pPr>
        <w:spacing w:after="0" w:line="61"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8"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83" w:lineRule="exact"/>
        <w:rPr>
          <w:sz w:val="20"/>
          <w:szCs w:val="20"/>
          <w:color w:val="auto"/>
        </w:rPr>
      </w:pPr>
    </w:p>
    <w:p>
      <w:pPr>
        <w:ind w:right="80" w:firstLine="473"/>
        <w:spacing w:after="0" w:line="246"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spacing w:after="0" w:line="184"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39" w:lineRule="exact"/>
        <w:rPr>
          <w:sz w:val="20"/>
          <w:szCs w:val="20"/>
          <w:color w:val="auto"/>
        </w:rPr>
      </w:pPr>
    </w:p>
    <w:p>
      <w:pPr>
        <w:ind w:right="20" w:firstLine="473"/>
        <w:spacing w:after="0" w:line="285" w:lineRule="auto"/>
        <w:rPr>
          <w:sz w:val="20"/>
          <w:szCs w:val="20"/>
          <w:color w:val="auto"/>
        </w:rPr>
      </w:pPr>
      <w:r>
        <w:rPr>
          <w:rFonts w:ascii="Times New Roman" w:cs="Times New Roman" w:eastAsia="Times New Roman" w:hAnsi="Times New Roman"/>
          <w:sz w:val="16"/>
          <w:szCs w:val="16"/>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3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6" w:name="page67"/>
    <w:bookmarkEnd w:id="66"/>
    <w:p>
      <w:pPr>
        <w:ind w:right="180" w:firstLine="473"/>
        <w:spacing w:after="0" w:line="249"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tax liabilities may be greater than anticipated.</w:t>
      </w:r>
    </w:p>
    <w:p>
      <w:pPr>
        <w:spacing w:after="0" w:line="112" w:lineRule="exact"/>
        <w:rPr>
          <w:sz w:val="20"/>
          <w:szCs w:val="20"/>
          <w:color w:val="auto"/>
        </w:rPr>
      </w:pPr>
    </w:p>
    <w:p>
      <w:pPr>
        <w:ind w:right="60" w:firstLine="473"/>
        <w:spacing w:after="0" w:line="246" w:lineRule="auto"/>
        <w:rPr>
          <w:sz w:val="20"/>
          <w:szCs w:val="20"/>
          <w:color w:val="auto"/>
        </w:rPr>
      </w:pPr>
      <w:r>
        <w:rPr>
          <w:rFonts w:ascii="Times New Roman" w:cs="Times New Roman" w:eastAsia="Times New Roman" w:hAnsi="Times New Roman"/>
          <w:sz w:val="18"/>
          <w:szCs w:val="18"/>
          <w:color w:val="auto"/>
        </w:rPr>
        <w:t>Tax laws applicable to our business activities are subject to interpretation. We are subject to audit by the Internal Revenue Service and by taxing authorities in the state and local jurisdictions in which we operate. Our tax obligations are based on how tax authorities in such jurisdictions assess revenue-based taxes such as sales and use taxes. Taxing authorities may and have challenged our tax positions and methodologies including our positions regarding the collection of sales and use taxes and the jurisdictions in which we are subject to taxes, which could expose us to additional taxes and penalties. In addition, our future tax expense could increase as a result of changes in tax laws, regulations or accounting principles, or changes in the interpretation of the same, or as a result of earning income in jurisdictions that have higher tax rates. An increase in our tax expense and/or penalties could have a negative effect on our financial position and results of operations. Moreover, the determination of our provision for income taxes and other tax liabilities requires significant estimates and judgment by management, and the tax treatment of certain transactions is uncertain. Although we believe we make reasonable estimates and judgments, the ultimate outcome of any particular issue may differ from the amounts previously recorded in our financial statements and any such occurrence could materially affect our financial position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1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61" w:lineRule="exact"/>
        <w:rPr>
          <w:sz w:val="20"/>
          <w:szCs w:val="20"/>
          <w:color w:val="auto"/>
        </w:rPr>
      </w:pPr>
    </w:p>
    <w:p>
      <w:pPr>
        <w:ind w:firstLine="473"/>
        <w:spacing w:after="0" w:line="245"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Measures—Use of Non-GAAP Financial Measures</w:t>
      </w:r>
      <w:r>
        <w:rPr>
          <w:rFonts w:ascii="Times New Roman" w:cs="Times New Roman" w:eastAsia="Times New Roman" w:hAnsi="Times New Roman"/>
          <w:sz w:val="18"/>
          <w:szCs w:val="18"/>
          <w:color w:val="auto"/>
        </w:rPr>
        <w:t>.” The varying nature of our pricing mix between periods may make it more difficult for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88" w:lineRule="exact"/>
        <w:rPr>
          <w:sz w:val="20"/>
          <w:szCs w:val="20"/>
          <w:color w:val="auto"/>
        </w:rPr>
      </w:pPr>
    </w:p>
    <w:p>
      <w:pPr>
        <w:ind w:left="940" w:hanging="462"/>
        <w:spacing w:after="0"/>
        <w:tabs>
          <w:tab w:leader="none" w:pos="9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demand for our platform, including those related to the seasonal nature of our customers’ spending on digital advertising campaigns;</w:t>
      </w:r>
    </w:p>
    <w:p>
      <w:pPr>
        <w:spacing w:after="0" w:line="131" w:lineRule="exact"/>
        <w:rPr>
          <w:rFonts w:ascii="Times New Roman" w:cs="Times New Roman" w:eastAsia="Times New Roman" w:hAnsi="Times New Roman"/>
          <w:sz w:val="16"/>
          <w:szCs w:val="16"/>
          <w:color w:val="auto"/>
        </w:rPr>
      </w:pPr>
    </w:p>
    <w:p>
      <w:pPr>
        <w:ind w:left="960" w:right="600" w:hanging="482"/>
        <w:spacing w:after="0" w:line="268" w:lineRule="auto"/>
        <w:tabs>
          <w:tab w:leader="none" w:pos="9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channel mix (including, for example, changes in demand for CTV);</w:t>
      </w:r>
    </w:p>
    <w:p>
      <w:pPr>
        <w:spacing w:after="0" w:line="200" w:lineRule="exact"/>
        <w:rPr>
          <w:sz w:val="20"/>
          <w:szCs w:val="20"/>
          <w:color w:val="auto"/>
        </w:rPr>
      </w:pPr>
    </w:p>
    <w:p>
      <w:pPr>
        <w:spacing w:after="0" w:line="2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7" w:name="page68"/>
    <w:bookmarkEnd w:id="67"/>
    <w:p>
      <w:pPr>
        <w:ind w:left="960" w:right="120" w:hanging="482"/>
        <w:spacing w:after="0" w:line="268" w:lineRule="auto"/>
        <w:tabs>
          <w:tab w:leader="none" w:pos="9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63" w:lineRule="exact"/>
        <w:rPr>
          <w:rFonts w:ascii="Times New Roman" w:cs="Times New Roman" w:eastAsia="Times New Roman" w:hAnsi="Times New Roman"/>
          <w:sz w:val="18"/>
          <w:szCs w:val="18"/>
          <w:color w:val="auto"/>
        </w:rPr>
      </w:pPr>
    </w:p>
    <w:p>
      <w:pPr>
        <w:ind w:left="960" w:right="80" w:hanging="482"/>
        <w:spacing w:after="0" w:line="249" w:lineRule="auto"/>
        <w:tabs>
          <w:tab w:leader="none" w:pos="9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prospects of marketers or the economy generally (due to pandemics,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or otherwise), which could alter marketers’ spending priorities, or could increase the time or costs required to complete advertising inventory sales;</w:t>
      </w:r>
    </w:p>
    <w:p>
      <w:pPr>
        <w:spacing w:after="0" w:line="82"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14" w:lineRule="exact"/>
        <w:rPr>
          <w:sz w:val="20"/>
          <w:szCs w:val="20"/>
          <w:color w:val="auto"/>
        </w:rPr>
      </w:pPr>
    </w:p>
    <w:p>
      <w:pPr>
        <w:ind w:right="20" w:firstLine="473"/>
        <w:spacing w:after="0" w:line="268"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112"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4"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61" w:lineRule="exact"/>
        <w:rPr>
          <w:sz w:val="20"/>
          <w:szCs w:val="20"/>
          <w:color w:val="auto"/>
        </w:rPr>
      </w:pPr>
    </w:p>
    <w:p>
      <w:pPr>
        <w:ind w:right="300" w:firstLine="473"/>
        <w:spacing w:after="0" w:line="256"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74" w:lineRule="exact"/>
        <w:rPr>
          <w:sz w:val="20"/>
          <w:szCs w:val="20"/>
          <w:color w:val="auto"/>
        </w:rPr>
      </w:pPr>
    </w:p>
    <w:p>
      <w:pPr>
        <w:ind w:left="960" w:right="20" w:hanging="482"/>
        <w:spacing w:after="0" w:line="268" w:lineRule="auto"/>
        <w:tabs>
          <w:tab w:leader="none" w:pos="9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expenses relating to data collection and consumer privacy compliance, including additional infrastructure, automation and personnel; and</w:t>
      </w:r>
    </w:p>
    <w:p>
      <w:pPr>
        <w:spacing w:after="0" w:line="131" w:lineRule="exact"/>
        <w:rPr>
          <w:rFonts w:ascii="Times New Roman" w:cs="Times New Roman" w:eastAsia="Times New Roman" w:hAnsi="Times New Roman"/>
          <w:sz w:val="16"/>
          <w:szCs w:val="16"/>
          <w:color w:val="auto"/>
        </w:rPr>
      </w:pPr>
    </w:p>
    <w:p>
      <w:pPr>
        <w:ind w:left="940" w:hanging="462"/>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200" w:lineRule="exact"/>
        <w:rPr>
          <w:sz w:val="20"/>
          <w:szCs w:val="20"/>
          <w:color w:val="auto"/>
        </w:rPr>
      </w:pPr>
    </w:p>
    <w:p>
      <w:pPr>
        <w:spacing w:after="0" w:line="2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8" w:name="page69"/>
    <w:bookmarkEnd w:id="68"/>
    <w:p>
      <w:pPr>
        <w:ind w:right="340" w:firstLine="473"/>
        <w:spacing w:after="0" w:line="268"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achieve or sustain profitability.</w:t>
      </w:r>
    </w:p>
    <w:p>
      <w:pPr>
        <w:spacing w:after="0" w:line="63"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85"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61"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Our asset-based revolving credit and security agreement (the "Amended Loan Agreement") with PNC Bank contains a number of covenants that limit our ability and our subsidiaries’ ability to, among other things, incur indebtedness, create liens, make investments, merge with or acquire other companies or the assets of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88" w:lineRule="exact"/>
        <w:rPr>
          <w:sz w:val="20"/>
          <w:szCs w:val="20"/>
          <w:color w:val="auto"/>
        </w:rPr>
      </w:pPr>
    </w:p>
    <w:p>
      <w:pPr>
        <w:ind w:right="20" w:firstLine="473"/>
        <w:spacing w:after="0" w:line="249"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if needed,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12"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112" w:lineRule="exact"/>
        <w:rPr>
          <w:sz w:val="20"/>
          <w:szCs w:val="20"/>
          <w:color w:val="auto"/>
        </w:rPr>
      </w:pPr>
    </w:p>
    <w:p>
      <w:pPr>
        <w:ind w:right="100" w:firstLine="473"/>
        <w:spacing w:after="0" w:line="247"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including the price of our own Class A common stock, has historically experienced high levels of volatility.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litigation, it could subject us to substantial costs, divert resources and the attention of management from our business, and adversely affect our business.</w:t>
      </w:r>
    </w:p>
    <w:p>
      <w:pPr>
        <w:spacing w:after="0" w:line="21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61"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5"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61"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Insiders have substantial control over our company, which could limit your ability to influence the outcome of key decisions, including a change of control.</w:t>
      </w:r>
    </w:p>
    <w:p>
      <w:pPr>
        <w:spacing w:after="0" w:line="135"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 xml:space="preserve">Through their ownership of common stock, the Vanderhook Parties control approximately 71% of the voting power of our common stock in the election of directors as of </w:t>
      </w:r>
      <w:r>
        <w:rPr>
          <w:rFonts w:ascii="Times New Roman" w:cs="Times New Roman" w:eastAsia="Times New Roman" w:hAnsi="Times New Roman"/>
          <w:sz w:val="18"/>
          <w:szCs w:val="18"/>
          <w:color w:val="231F20"/>
        </w:rPr>
        <w:t>June 30, 2025</w:t>
      </w:r>
      <w:r>
        <w:rPr>
          <w:rFonts w:ascii="Times New Roman" w:cs="Times New Roman" w:eastAsia="Times New Roman" w:hAnsi="Times New Roman"/>
          <w:sz w:val="18"/>
          <w:szCs w:val="18"/>
          <w:color w:val="auto"/>
        </w:rPr>
        <w:t>.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12" w:lineRule="exact"/>
        <w:rPr>
          <w:sz w:val="20"/>
          <w:szCs w:val="20"/>
          <w:color w:val="auto"/>
        </w:rPr>
      </w:pPr>
    </w:p>
    <w:p>
      <w:pPr>
        <w:ind w:right="220" w:firstLine="473"/>
        <w:spacing w:after="0" w:line="303" w:lineRule="auto"/>
        <w:rPr>
          <w:sz w:val="20"/>
          <w:szCs w:val="20"/>
          <w:color w:val="auto"/>
        </w:rPr>
      </w:pPr>
      <w:r>
        <w:rPr>
          <w:rFonts w:ascii="Times New Roman" w:cs="Times New Roman" w:eastAsia="Times New Roman" w:hAnsi="Times New Roman"/>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39" w:lineRule="exact"/>
        <w:rPr>
          <w:sz w:val="20"/>
          <w:szCs w:val="20"/>
          <w:color w:val="auto"/>
        </w:rPr>
      </w:pPr>
    </w:p>
    <w:p>
      <w:pPr>
        <w:ind w:left="960" w:right="340" w:hanging="482"/>
        <w:spacing w:after="0" w:line="256" w:lineRule="auto"/>
        <w:tabs>
          <w:tab w:leader="none" w:pos="9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7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08" w:lineRule="exact"/>
        <w:rPr>
          <w:rFonts w:ascii="Times New Roman" w:cs="Times New Roman" w:eastAsia="Times New Roman" w:hAnsi="Times New Roman"/>
          <w:sz w:val="18"/>
          <w:szCs w:val="18"/>
          <w:color w:val="auto"/>
        </w:rPr>
      </w:pPr>
    </w:p>
    <w:p>
      <w:pPr>
        <w:ind w:left="960" w:right="460" w:hanging="482"/>
        <w:spacing w:after="0" w:line="268" w:lineRule="auto"/>
        <w:tabs>
          <w:tab w:leader="none" w:pos="9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08" w:lineRule="exact"/>
        <w:rPr>
          <w:rFonts w:ascii="Times New Roman" w:cs="Times New Roman" w:eastAsia="Times New Roman" w:hAnsi="Times New Roman"/>
          <w:sz w:val="18"/>
          <w:szCs w:val="18"/>
          <w:color w:val="auto"/>
        </w:rPr>
      </w:pPr>
    </w:p>
    <w:p>
      <w:pPr>
        <w:ind w:left="960" w:right="120" w:hanging="482"/>
        <w:spacing w:after="0" w:line="268" w:lineRule="auto"/>
        <w:tabs>
          <w:tab w:leader="none" w:pos="9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63" w:lineRule="exact"/>
        <w:rPr>
          <w:rFonts w:ascii="Times New Roman" w:cs="Times New Roman" w:eastAsia="Times New Roman" w:hAnsi="Times New Roman"/>
          <w:sz w:val="18"/>
          <w:szCs w:val="18"/>
          <w:color w:val="auto"/>
        </w:rPr>
      </w:pPr>
    </w:p>
    <w:p>
      <w:pPr>
        <w:ind w:left="960" w:right="280" w:hanging="482"/>
        <w:spacing w:after="0" w:line="268" w:lineRule="auto"/>
        <w:tabs>
          <w:tab w:leader="none" w:pos="9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37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0" w:name="page71"/>
    <w:bookmarkEnd w:id="70"/>
    <w:p>
      <w:pPr>
        <w:ind w:left="940" w:hanging="462"/>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08" w:lineRule="exact"/>
        <w:rPr>
          <w:rFonts w:ascii="Times New Roman" w:cs="Times New Roman" w:eastAsia="Times New Roman" w:hAnsi="Times New Roman"/>
          <w:sz w:val="18"/>
          <w:szCs w:val="18"/>
          <w:color w:val="auto"/>
        </w:rPr>
      </w:pPr>
    </w:p>
    <w:p>
      <w:pPr>
        <w:ind w:left="960" w:right="300" w:hanging="482"/>
        <w:spacing w:after="0" w:line="268" w:lineRule="auto"/>
        <w:tabs>
          <w:tab w:leader="none" w:pos="9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63"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61"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8" w:lineRule="exact"/>
        <w:rPr>
          <w:sz w:val="20"/>
          <w:szCs w:val="20"/>
          <w:color w:val="auto"/>
        </w:rPr>
      </w:pPr>
    </w:p>
    <w:p>
      <w:pPr>
        <w:ind w:right="40" w:firstLine="473"/>
        <w:spacing w:after="0" w:line="288" w:lineRule="auto"/>
        <w:rPr>
          <w:sz w:val="20"/>
          <w:szCs w:val="20"/>
          <w:color w:val="auto"/>
        </w:rPr>
      </w:pPr>
      <w:r>
        <w:rPr>
          <w:rFonts w:ascii="Times New Roman" w:cs="Times New Roman" w:eastAsia="Times New Roman" w:hAnsi="Times New Roman"/>
          <w:sz w:val="16"/>
          <w:szCs w:val="16"/>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53" w:lineRule="exact"/>
        <w:rPr>
          <w:sz w:val="20"/>
          <w:szCs w:val="20"/>
          <w:color w:val="auto"/>
        </w:rPr>
      </w:pPr>
    </w:p>
    <w:p>
      <w:pPr>
        <w:ind w:right="520" w:firstLine="473"/>
        <w:spacing w:after="0" w:line="26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65"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61" w:lineRule="exact"/>
        <w:rPr>
          <w:sz w:val="20"/>
          <w:szCs w:val="20"/>
          <w:color w:val="auto"/>
        </w:rPr>
      </w:pPr>
    </w:p>
    <w:p>
      <w:pPr>
        <w:ind w:right="100" w:firstLine="473"/>
        <w:spacing w:after="0" w:line="246"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On May 5, 2025, our board of directors authorized an increase to the existing stock repurchase program, approving the repurchase of up to an additional $50.0 million of the Company’s Class A common stock or Class B units of Viant Technology LLC.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and reduce our cash reserves, and the program may be suspended or terminated at any time, which may result in a decrease in the trading prices of our Class A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61" w:lineRule="exact"/>
        <w:rPr>
          <w:sz w:val="20"/>
          <w:szCs w:val="20"/>
          <w:color w:val="auto"/>
        </w:rPr>
      </w:pPr>
    </w:p>
    <w:p>
      <w:pPr>
        <w:ind w:right="40" w:firstLine="473"/>
        <w:spacing w:after="0" w:line="288" w:lineRule="auto"/>
        <w:rPr>
          <w:sz w:val="20"/>
          <w:szCs w:val="20"/>
          <w:color w:val="auto"/>
        </w:rPr>
      </w:pPr>
      <w:r>
        <w:rPr>
          <w:rFonts w:ascii="Times New Roman" w:cs="Times New Roman" w:eastAsia="Times New Roman" w:hAnsi="Times New Roman"/>
          <w:sz w:val="16"/>
          <w:szCs w:val="16"/>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New and changing laws, regulations, executive orders and enforcement priorities can also create uncertainty about how such laws and regulations will be interpreted and applied. Noncompliance with applicable laws, regulations or requirements could subject us to investigations, enforcement actions, sanctions,</w:t>
      </w:r>
    </w:p>
    <w:p>
      <w:pPr>
        <w:spacing w:after="0" w:line="36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71" w:name="page72"/>
    <w:bookmarkEnd w:id="71"/>
    <w:p>
      <w:pPr>
        <w:ind w:right="200"/>
        <w:spacing w:after="0" w:line="268" w:lineRule="auto"/>
        <w:rPr>
          <w:sz w:val="20"/>
          <w:szCs w:val="20"/>
          <w:color w:val="auto"/>
        </w:rPr>
      </w:pPr>
      <w:r>
        <w:rPr>
          <w:rFonts w:ascii="Times New Roman" w:cs="Times New Roman" w:eastAsia="Times New Roman" w:hAnsi="Times New Roman"/>
          <w:sz w:val="18"/>
          <w:szCs w:val="18"/>
          <w:color w:val="231F20"/>
        </w:rPr>
        <w:t>fines, damages, penalties, injunctions or termination of contracts. Any such matters could have a material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Increasing attention to, and evolving expectations regarding, environmental, social, and governance matters may impact our business and reputation.</w:t>
      </w:r>
    </w:p>
    <w:p>
      <w:pPr>
        <w:spacing w:after="0" w:line="112"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color w:val="auto"/>
        </w:rPr>
        <w:t>Companies across industries are facing scrutiny from a variety of stakeholders related to their ESG and sustainability practices. Expectations regarding voluntary ESG initiatives and metrics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77" w:lineRule="exact"/>
        <w:rPr>
          <w:sz w:val="20"/>
          <w:szCs w:val="20"/>
          <w:color w:val="auto"/>
        </w:rPr>
      </w:pPr>
    </w:p>
    <w:p>
      <w:pPr>
        <w:ind w:firstLine="473"/>
        <w:spacing w:after="0" w:line="278" w:lineRule="auto"/>
        <w:rPr>
          <w:sz w:val="20"/>
          <w:szCs w:val="20"/>
          <w:color w:val="auto"/>
        </w:rPr>
      </w:pPr>
      <w:r>
        <w:rPr>
          <w:rFonts w:ascii="Times New Roman" w:cs="Times New Roman" w:eastAsia="Times New Roman" w:hAnsi="Times New Roman"/>
          <w:sz w:val="16"/>
          <w:szCs w:val="16"/>
          <w:color w:val="auto"/>
        </w:rPr>
        <w:t>While we have and continue to engage in voluntary initiatives (which may include voluntary disclosures, certifications, and/or goals, among others) to improve the ESG profile of the Company and/or our products, such initiatives may require considerable investments and may not have the desired effect. For example, our goals, including our annual carbon neutrality efforts, with all of their contingencies, dependencies, calculations, and in certain cases, reliance on third-party verification and/or performance, are complex and ambitious, and we may not achieve them, either according to specific standards or stakeholder expectations or at all. Moreover, actions or statements that we may take based on expectations, assumptions, methodologies, or data that we currently believe to be reasonable may subsequently be determined to be erroneous or be subject to misinterpretation. In addition, ESG initiatives may be particularly prone to errors or misinterpretation, as they often involve substantial discretion given there is no consensus on specific best practices and related standards and methodologies, all of which continue to evolve, and have in the past resulted in the need to correct the environmental attributes we have purchased in order to meet ESG commitments. While these discrepancies have not materially impacted our ESG strategy or financial performance, we cannot guarantee that other ESG-reporting errors will not occur in future or the ultimate impact such errors might have.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increasingly nuanced allegations of greenwashing against companies making significant ESG claims due to a variety of perceived deficiencies in disclosures, methodology, or performance, including as stakeholder perceptions of sustainability continue to evolve. Additionally, our current programs, reporting frameworks, and principles may not be in compliance with any new environmental and social laws and regulations, or novel interpretations of existing laws and regulations, that may be promulgated in the United States and elsewhere, and the costs of changing any of our current practices to comply with any new legal and regulatory requirements in the United States and elsewhere may be substantial.</w:t>
      </w:r>
    </w:p>
    <w:p>
      <w:pPr>
        <w:spacing w:after="0" w:line="270" w:lineRule="exact"/>
        <w:rPr>
          <w:sz w:val="20"/>
          <w:szCs w:val="20"/>
          <w:color w:val="auto"/>
        </w:rPr>
      </w:pPr>
    </w:p>
    <w:p>
      <w:pPr>
        <w:ind w:right="100" w:firstLine="473"/>
        <w:spacing w:after="0" w:line="249" w:lineRule="auto"/>
        <w:rPr>
          <w:sz w:val="20"/>
          <w:szCs w:val="20"/>
          <w:color w:val="auto"/>
        </w:rPr>
      </w:pPr>
      <w:r>
        <w:rPr>
          <w:rFonts w:ascii="Times New Roman" w:cs="Times New Roman" w:eastAsia="Times New Roman" w:hAnsi="Times New Roman"/>
          <w:sz w:val="18"/>
          <w:szCs w:val="18"/>
          <w:color w:val="auto"/>
        </w:rPr>
        <w:t>We expect there will likely be increasing levels of regulation, disclosure-related and otherwise, with respect to ESG matters. For example, various policymakers (including the SEC and State of California) have adopted, or are considering adopting, rules that would require significantly expanded actions or disclosures on climate or other ESG-related matters from companies. Although several of these rules have been challenged and/or stayed, such rules, if implemented, may require us to incur significant additional costs to comply. Such rules are not uniform, and may not be interpreted or enforced uniformly, which can increase compliance costs or associated risks.</w:t>
      </w:r>
    </w:p>
    <w:p>
      <w:pPr>
        <w:spacing w:after="0" w:line="83"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auto"/>
        </w:rPr>
        <w:t>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negatively impact our share price as well as our access to and cost of capital. To the extent ESG matters negatively impact our reputation, it may also impede our ability to compete as effectively to attract and retain employees, customers, or business partners, which may adversely impact our operations. Simultaneously, there are efforts by some stakeholders and policymakers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p>
    <w:p>
      <w:pPr>
        <w:spacing w:after="0" w:line="18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61"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2" w:name="page73"/>
    <w:bookmarkEnd w:id="72"/>
    <w:p>
      <w:pPr>
        <w:spacing w:after="0" w:line="247" w:lineRule="auto"/>
        <w:rPr>
          <w:sz w:val="20"/>
          <w:szCs w:val="20"/>
          <w:color w:val="auto"/>
        </w:rPr>
      </w:pPr>
      <w:r>
        <w:rPr>
          <w:rFonts w:ascii="Times New Roman" w:cs="Times New Roman" w:eastAsia="Times New Roman" w:hAnsi="Times New Roman"/>
          <w:sz w:val="18"/>
          <w:szCs w:val="18"/>
          <w:color w:val="auto"/>
        </w:rPr>
        <w:t>"Sarbanes-Oxley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83" w:lineRule="exact"/>
        <w:rPr>
          <w:sz w:val="20"/>
          <w:szCs w:val="20"/>
          <w:color w:val="auto"/>
        </w:rPr>
      </w:pPr>
    </w:p>
    <w:p>
      <w:pPr>
        <w:ind w:right="100" w:firstLine="473"/>
        <w:spacing w:after="0" w:line="256"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as defined in the Exchange Act. We may take advantage of certain of the scaled disclosures available to smaller reporting companies as long as we qualify under this category, even after we are no longer an EGC, </w:t>
      </w:r>
      <w:r>
        <w:rPr>
          <w:rFonts w:ascii="Times New Roman" w:cs="Times New Roman" w:eastAsia="Times New Roman" w:hAnsi="Times New Roman"/>
          <w:sz w:val="18"/>
          <w:szCs w:val="18"/>
          <w:color w:val="000000"/>
        </w:rPr>
        <w:t>including reduced disclosure obligations regarding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executive compensation in our periodic reports and proxy statements.</w:t>
      </w:r>
    </w:p>
    <w:p>
      <w:pPr>
        <w:spacing w:after="0" w:line="74" w:lineRule="exact"/>
        <w:rPr>
          <w:sz w:val="20"/>
          <w:szCs w:val="20"/>
          <w:color w:val="auto"/>
        </w:rPr>
      </w:pPr>
    </w:p>
    <w:p>
      <w:pPr>
        <w:ind w:right="240" w:firstLine="473"/>
        <w:spacing w:after="0" w:line="268"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165"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61" w:lineRule="exact"/>
        <w:rPr>
          <w:sz w:val="20"/>
          <w:szCs w:val="20"/>
          <w:color w:val="auto"/>
        </w:rPr>
      </w:pPr>
    </w:p>
    <w:p>
      <w:pPr>
        <w:ind w:right="40" w:firstLine="473"/>
        <w:spacing w:after="0" w:line="288"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53"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8" w:lineRule="exact"/>
        <w:rPr>
          <w:sz w:val="20"/>
          <w:szCs w:val="20"/>
          <w:color w:val="auto"/>
        </w:rPr>
      </w:pPr>
    </w:p>
    <w:p>
      <w:pPr>
        <w:jc w:val="both"/>
        <w:ind w:right="60" w:firstLine="473"/>
        <w:spacing w:after="0" w:line="252"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do not then qualify as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77"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65"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61" w:lineRule="exact"/>
        <w:rPr>
          <w:sz w:val="20"/>
          <w:szCs w:val="20"/>
          <w:color w:val="auto"/>
        </w:rPr>
      </w:pPr>
    </w:p>
    <w:p>
      <w:pPr>
        <w:ind w:right="240" w:firstLine="473"/>
        <w:spacing w:after="0" w:line="268"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63" w:lineRule="exact"/>
        <w:rPr>
          <w:sz w:val="20"/>
          <w:szCs w:val="20"/>
          <w:color w:val="auto"/>
        </w:rPr>
      </w:pPr>
    </w:p>
    <w:p>
      <w:pPr>
        <w:ind w:right="100" w:firstLine="473"/>
        <w:spacing w:after="0" w:line="256"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0" w:lineRule="exact"/>
        <w:rPr>
          <w:sz w:val="20"/>
          <w:szCs w:val="20"/>
          <w:color w:val="auto"/>
        </w:rPr>
      </w:pPr>
    </w:p>
    <w:p>
      <w:pPr>
        <w:ind w:right="160" w:firstLine="473"/>
        <w:spacing w:after="0" w:line="249"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with authorization to purchase up to $50.0 million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For additional information related to share repurchases, refer to Note 9—Stockholders' Equity to our unaudited condensed consolidated financial statements included elsewhere in this Quarterly Report.</w:t>
      </w:r>
    </w:p>
    <w:p>
      <w:pPr>
        <w:spacing w:after="0" w:line="83" w:lineRule="exact"/>
        <w:rPr>
          <w:sz w:val="20"/>
          <w:szCs w:val="20"/>
          <w:color w:val="auto"/>
        </w:rPr>
      </w:pPr>
    </w:p>
    <w:p>
      <w:pPr>
        <w:ind w:right="340" w:firstLine="473"/>
        <w:spacing w:after="0" w:line="256" w:lineRule="auto"/>
        <w:rPr>
          <w:sz w:val="20"/>
          <w:szCs w:val="20"/>
          <w:color w:val="auto"/>
        </w:rPr>
      </w:pPr>
      <w:r>
        <w:rPr>
          <w:rFonts w:ascii="Times New Roman" w:cs="Times New Roman" w:eastAsia="Times New Roman" w:hAnsi="Times New Roman"/>
          <w:sz w:val="18"/>
          <w:szCs w:val="18"/>
          <w:color w:val="auto"/>
        </w:rPr>
        <w:t>In addition to shares repurchased under the stock repurchase program, during the second quarter of 2025, we repurchased shares of Class A common stock in connection with the vesting of restricted stock units to provide the holders of such restricted stock units with cash to satisfy the estimated taxes incidental to the vesting of the related awards.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shares repurchased during the periods presented:</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Maximum</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Number (or</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4"/>
                <w:szCs w:val="14"/>
                <w:color w:val="auto"/>
              </w:rPr>
            </w:pPr>
          </w:p>
        </w:tc>
        <w:tc>
          <w:tcPr>
            <w:tcW w:w="13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6"/>
                <w:szCs w:val="16"/>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Average Price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Purchased</w:t>
            </w:r>
          </w:p>
        </w:tc>
        <w:tc>
          <w:tcPr>
            <w:tcW w:w="100" w:type="dxa"/>
            <w:vAlign w:val="bottom"/>
          </w:tcPr>
          <w:p>
            <w:pPr>
              <w:spacing w:after="0"/>
              <w:rPr>
                <w:sz w:val="16"/>
                <w:szCs w:val="16"/>
                <w:color w:val="auto"/>
              </w:rPr>
            </w:pPr>
          </w:p>
        </w:tc>
        <w:tc>
          <w:tcPr>
            <w:tcW w:w="13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as Part of Publicly</w:t>
            </w:r>
          </w:p>
        </w:tc>
        <w:tc>
          <w:tcPr>
            <w:tcW w:w="100" w:type="dxa"/>
            <w:vAlign w:val="bottom"/>
          </w:tcPr>
          <w:p>
            <w:pPr>
              <w:spacing w:after="0"/>
              <w:rPr>
                <w:sz w:val="14"/>
                <w:szCs w:val="14"/>
                <w:color w:val="auto"/>
              </w:rPr>
            </w:pPr>
          </w:p>
        </w:tc>
        <w:tc>
          <w:tcPr>
            <w:tcW w:w="13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Class A Shares</w:t>
            </w:r>
          </w:p>
        </w:tc>
        <w:tc>
          <w:tcPr>
            <w:tcW w:w="1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Class B Units</w:t>
            </w:r>
          </w:p>
        </w:tc>
        <w:tc>
          <w:tcPr>
            <w:tcW w:w="100" w:type="dxa"/>
            <w:vAlign w:val="bottom"/>
          </w:tcPr>
          <w:p>
            <w:pPr>
              <w:spacing w:after="0"/>
              <w:rPr>
                <w:sz w:val="14"/>
                <w:szCs w:val="14"/>
                <w:color w:val="auto"/>
              </w:rPr>
            </w:pPr>
          </w:p>
        </w:tc>
        <w:tc>
          <w:tcPr>
            <w:tcW w:w="144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8"/>
                <w:szCs w:val="18"/>
                <w:color w:val="auto"/>
              </w:rPr>
              <w:t>Paid per Class A</w:t>
            </w:r>
          </w:p>
        </w:tc>
        <w:tc>
          <w:tcPr>
            <w:tcW w:w="142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color w:val="auto"/>
              </w:rPr>
              <w:t>Paid per Class B</w:t>
            </w:r>
          </w:p>
        </w:tc>
        <w:tc>
          <w:tcPr>
            <w:tcW w:w="13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Announced Plans</w:t>
            </w:r>
          </w:p>
        </w:tc>
        <w:tc>
          <w:tcPr>
            <w:tcW w:w="100" w:type="dxa"/>
            <w:vAlign w:val="bottom"/>
          </w:tcPr>
          <w:p>
            <w:pPr>
              <w:spacing w:after="0"/>
              <w:rPr>
                <w:sz w:val="14"/>
                <w:szCs w:val="14"/>
                <w:color w:val="auto"/>
              </w:rPr>
            </w:pPr>
          </w:p>
        </w:tc>
        <w:tc>
          <w:tcPr>
            <w:tcW w:w="13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Programs (in</w:t>
            </w:r>
          </w:p>
        </w:tc>
        <w:tc>
          <w:tcPr>
            <w:tcW w:w="0" w:type="dxa"/>
            <w:vAlign w:val="bottom"/>
          </w:tcPr>
          <w:p>
            <w:pPr>
              <w:spacing w:after="0"/>
              <w:rPr>
                <w:sz w:val="1"/>
                <w:szCs w:val="1"/>
                <w:color w:val="auto"/>
              </w:rPr>
            </w:pPr>
          </w:p>
        </w:tc>
      </w:tr>
      <w:tr>
        <w:trPr>
          <w:trHeight w:val="23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00" w:type="dxa"/>
            <w:vAlign w:val="bottom"/>
          </w:tcPr>
          <w:p>
            <w:pPr>
              <w:spacing w:after="0"/>
              <w:rPr>
                <w:sz w:val="20"/>
                <w:szCs w:val="20"/>
                <w:color w:val="auto"/>
              </w:rPr>
            </w:pPr>
          </w:p>
        </w:tc>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2"/>
                <w:szCs w:val="22"/>
                <w:color w:val="auto"/>
                <w:vertAlign w:val="superscript"/>
              </w:rPr>
              <w:t>(1)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Unit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7"/>
              </w:rPr>
              <w:t>thousands)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to 4/30/25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556,493</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556,493</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2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5/1/25 to 5/31/25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154,552</w:t>
            </w:r>
          </w:p>
        </w:tc>
        <w:tc>
          <w:tcPr>
            <w:tcW w:w="1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154,552</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51,760</w:t>
            </w:r>
          </w:p>
        </w:tc>
        <w:tc>
          <w:tcPr>
            <w:tcW w:w="0" w:type="dxa"/>
            <w:vAlign w:val="bottom"/>
          </w:tcPr>
          <w:p>
            <w:pPr>
              <w:spacing w:after="0"/>
              <w:rPr>
                <w:sz w:val="1"/>
                <w:szCs w:val="1"/>
                <w:color w:val="auto"/>
              </w:rPr>
            </w:pPr>
          </w:p>
        </w:tc>
      </w:tr>
      <w:tr>
        <w:trPr>
          <w:trHeight w:val="223"/>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6/1/25 to 6/30/25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104,541</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50,382</w:t>
            </w:r>
          </w:p>
        </w:tc>
        <w:tc>
          <w:tcPr>
            <w:tcW w:w="0" w:type="dxa"/>
            <w:vAlign w:val="bottom"/>
          </w:tcPr>
          <w:p>
            <w:pPr>
              <w:spacing w:after="0"/>
              <w:rPr>
                <w:sz w:val="1"/>
                <w:szCs w:val="1"/>
                <w:color w:val="auto"/>
              </w:rPr>
            </w:pPr>
          </w:p>
        </w:tc>
      </w:tr>
      <w:tr>
        <w:trPr>
          <w:trHeight w:val="221"/>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815,586</w:t>
            </w:r>
          </w:p>
        </w:tc>
        <w:tc>
          <w:tcPr>
            <w:tcW w:w="1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815,586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60" w:right="480" w:hanging="309"/>
        <w:spacing w:after="0" w:line="268" w:lineRule="auto"/>
        <w:tabs>
          <w:tab w:leader="none" w:pos="12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Class A common stock repurchased under the publicly announced stock repurchase program, average price paid per share includes costs associated with such repurchases.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0" w:lineRule="exact"/>
        <w:rPr>
          <w:sz w:val="20"/>
          <w:szCs w:val="20"/>
          <w:color w:val="auto"/>
        </w:rPr>
      </w:pPr>
    </w:p>
    <w:p>
      <w:pPr>
        <w:ind w:left="940" w:hanging="304"/>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3"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3" w:lineRule="exact"/>
        <w:rPr>
          <w:rFonts w:ascii="Times New Roman" w:cs="Times New Roman" w:eastAsia="Times New Roman" w:hAnsi="Times New Roman"/>
          <w:sz w:val="18"/>
          <w:szCs w:val="18"/>
          <w:color w:val="auto"/>
        </w:rPr>
      </w:pPr>
    </w:p>
    <w:p>
      <w:pPr>
        <w:ind w:left="960" w:hanging="324"/>
        <w:spacing w:after="0" w:line="248" w:lineRule="auto"/>
        <w:tabs>
          <w:tab w:leader="none" w:pos="9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 2025, Larry Madden, our Chief Financial Officer, entered into a Rule 10b5-1 trading arrangement intended to satisfy the affirmative defense conditions of Rule 10b5-1(c) for the sale of up to 300,095 shares of the Company’s Class A common stock, including up to 136,628 shares to be issued upon the vesting of restricted stock units, which will be reduced by the number of shares withheld or sold at the direction of the Company to cover taxes, if any, through March 31, 2026. During the three months ended </w:t>
      </w:r>
      <w:r>
        <w:rPr>
          <w:rFonts w:ascii="Times New Roman" w:cs="Times New Roman" w:eastAsia="Times New Roman" w:hAnsi="Times New Roman"/>
          <w:sz w:val="18"/>
          <w:szCs w:val="18"/>
          <w:color w:val="231F20"/>
        </w:rPr>
        <w:t>June 30, 2025</w:t>
      </w:r>
      <w:r>
        <w:rPr>
          <w:rFonts w:ascii="Times New Roman" w:cs="Times New Roman" w:eastAsia="Times New Roman" w:hAnsi="Times New Roman"/>
          <w:sz w:val="18"/>
          <w:szCs w:val="18"/>
          <w:color w:val="auto"/>
        </w:rPr>
        <w:t>, no other director or "officer" (as defined in Rule 16a-1(f) of the Exchange Act) of the Company adopted or terminated a "Rule 10b5-1 trading arrangement" or "non-Rule 10b5-1 trading arrangement," as each term is defined in Item 408(a) of Regulation S-K.</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8"/>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20" w:type="dxa"/>
            <w:vAlign w:val="bottom"/>
            <w:gridSpan w:val="9"/>
          </w:tcPr>
          <w:p>
            <w:pPr>
              <w:ind w:left="4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Certificate of Incorporation of Viant Technology Inc. (incorporated by reference to Exhibit 3.1 to the</w:t>
              </w:r>
            </w:hyperlink>
          </w:p>
        </w:tc>
      </w:tr>
      <w:tr>
        <w:trPr>
          <w:trHeight w:val="151"/>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5"/>
          </w:tcPr>
          <w:p>
            <w:pPr>
              <w:spacing w:after="0" w:line="151"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Company’s Annual Report on Form 10-K (File No. 001-40015) for the year ended December 31, 2020, filed on March 23,</w:t>
              </w:r>
            </w:hyperlink>
          </w:p>
        </w:tc>
        <w:tc>
          <w:tcPr>
            <w:tcW w:w="320" w:type="dxa"/>
            <w:vAlign w:val="bottom"/>
            <w:tcBorders>
              <w:bottom w:val="single" w:sz="8" w:color="0000FF"/>
            </w:tcBorders>
            <w:gridSpan w:val="2"/>
          </w:tcPr>
          <w:p>
            <w:pPr>
              <w:jc w:val="right"/>
              <w:spacing w:after="0" w:line="151" w:lineRule="exact"/>
              <w:rPr>
                <w:rFonts w:ascii="Times New Roman" w:cs="Times New Roman" w:eastAsia="Times New Roman" w:hAnsi="Times New Roman"/>
                <w:sz w:val="16"/>
                <w:szCs w:val="16"/>
                <w:color w:val="0000FF"/>
                <w:w w:val="80"/>
              </w:rPr>
            </w:pPr>
            <w:hyperlink r:id="rId100">
              <w:r>
                <w:rPr>
                  <w:rFonts w:ascii="Times New Roman" w:cs="Times New Roman" w:eastAsia="Times New Roman" w:hAnsi="Times New Roman"/>
                  <w:sz w:val="16"/>
                  <w:szCs w:val="16"/>
                  <w:color w:val="0000FF"/>
                  <w:w w:val="80"/>
                </w:rPr>
                <w:t>2021)</w:t>
              </w:r>
            </w:hyperlink>
          </w:p>
        </w:tc>
        <w:tc>
          <w:tcPr>
            <w:tcW w:w="580" w:type="dxa"/>
            <w:vAlign w:val="bottom"/>
            <w:gridSpan w:val="2"/>
          </w:tcPr>
          <w:p>
            <w:pPr>
              <w:spacing w:after="0"/>
              <w:rPr>
                <w:sz w:val="13"/>
                <w:szCs w:val="13"/>
                <w:color w:val="auto"/>
              </w:rPr>
            </w:pPr>
          </w:p>
        </w:tc>
      </w:tr>
      <w:tr>
        <w:trPr>
          <w:trHeight w:val="269"/>
        </w:trPr>
        <w:tc>
          <w:tcPr>
            <w:tcW w:w="180" w:type="dxa"/>
            <w:vAlign w:val="bottom"/>
          </w:tcPr>
          <w:p>
            <w:pPr>
              <w:spacing w:after="0"/>
              <w:rPr>
                <w:sz w:val="23"/>
                <w:szCs w:val="23"/>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9"/>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Bylaws of Viant Technology Inc. (incorporated by reference to Exhibit 3.2 to the Company’s Annual</w:t>
              </w:r>
            </w:hyperlink>
          </w:p>
        </w:tc>
      </w:tr>
      <w:tr>
        <w:trPr>
          <w:trHeight w:val="151"/>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4"/>
          </w:tcPr>
          <w:p>
            <w:pPr>
              <w:spacing w:after="0" w:line="151"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Report on Form 10-K (File No. 001-40015) for the year ended December 31, 2020, filed on March 23, 2021)</w:t>
              </w:r>
            </w:hyperlink>
          </w:p>
        </w:tc>
        <w:tc>
          <w:tcPr>
            <w:tcW w:w="1100" w:type="dxa"/>
            <w:vAlign w:val="bottom"/>
            <w:tcBorders>
              <w:top w:val="single" w:sz="8" w:color="0000FF"/>
            </w:tcBorders>
            <w:gridSpan w:val="2"/>
          </w:tcPr>
          <w:p>
            <w:pPr>
              <w:spacing w:after="0"/>
              <w:rPr>
                <w:sz w:val="13"/>
                <w:szCs w:val="13"/>
                <w:color w:val="auto"/>
              </w:rPr>
            </w:pPr>
          </w:p>
        </w:tc>
        <w:tc>
          <w:tcPr>
            <w:tcW w:w="880" w:type="dxa"/>
            <w:vAlign w:val="bottom"/>
            <w:gridSpan w:val="3"/>
          </w:tcPr>
          <w:p>
            <w:pPr>
              <w:spacing w:after="0"/>
              <w:rPr>
                <w:sz w:val="13"/>
                <w:szCs w:val="13"/>
                <w:color w:val="auto"/>
              </w:rPr>
            </w:pPr>
          </w:p>
        </w:tc>
      </w:tr>
      <w:tr>
        <w:trPr>
          <w:trHeight w:val="269"/>
        </w:trPr>
        <w:tc>
          <w:tcPr>
            <w:tcW w:w="180" w:type="dxa"/>
            <w:vAlign w:val="bottom"/>
          </w:tcPr>
          <w:p>
            <w:pPr>
              <w:spacing w:after="0"/>
              <w:rPr>
                <w:sz w:val="23"/>
                <w:szCs w:val="23"/>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Certification of Principal Executive Officer Pursuant to Section 302 of the Sarbanes-Oxley Act of 2002</w:t>
            </w:r>
          </w:p>
        </w:tc>
        <w:tc>
          <w:tcPr>
            <w:tcW w:w="2380" w:type="dxa"/>
            <w:vAlign w:val="bottom"/>
            <w:gridSpan w:val="6"/>
          </w:tcPr>
          <w:p>
            <w:pPr>
              <w:spacing w:after="0"/>
              <w:rPr>
                <w:sz w:val="23"/>
                <w:szCs w:val="23"/>
                <w:color w:val="auto"/>
              </w:rPr>
            </w:pPr>
          </w:p>
        </w:tc>
      </w:tr>
      <w:tr>
        <w:trPr>
          <w:trHeight w:val="256"/>
        </w:trPr>
        <w:tc>
          <w:tcPr>
            <w:tcW w:w="180" w:type="dxa"/>
            <w:vAlign w:val="bottom"/>
          </w:tcPr>
          <w:p>
            <w:pPr>
              <w:spacing w:after="0"/>
              <w:rPr>
                <w:sz w:val="22"/>
                <w:szCs w:val="22"/>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 Section 302 of the Sarbanes-Oxley Act of 2002</w:t>
            </w:r>
          </w:p>
        </w:tc>
        <w:tc>
          <w:tcPr>
            <w:tcW w:w="2420" w:type="dxa"/>
            <w:vAlign w:val="bottom"/>
            <w:gridSpan w:val="7"/>
          </w:tcPr>
          <w:p>
            <w:pPr>
              <w:spacing w:after="0"/>
              <w:rPr>
                <w:sz w:val="22"/>
                <w:szCs w:val="22"/>
                <w:color w:val="auto"/>
              </w:rPr>
            </w:pPr>
          </w:p>
        </w:tc>
      </w:tr>
      <w:tr>
        <w:trPr>
          <w:trHeight w:val="256"/>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7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Certification of Principal Executive Officer Pursuant to Section 906 of the Sarbanes-Oxley Act of 2002</w:t>
            </w:r>
          </w:p>
        </w:tc>
        <w:tc>
          <w:tcPr>
            <w:tcW w:w="2380" w:type="dxa"/>
            <w:vAlign w:val="bottom"/>
            <w:gridSpan w:val="6"/>
          </w:tcPr>
          <w:p>
            <w:pPr>
              <w:spacing w:after="0"/>
              <w:rPr>
                <w:sz w:val="22"/>
                <w:szCs w:val="22"/>
                <w:color w:val="auto"/>
              </w:rPr>
            </w:pPr>
          </w:p>
        </w:tc>
      </w:tr>
      <w:tr>
        <w:trPr>
          <w:trHeight w:val="256"/>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290"/>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1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440" w:type="dxa"/>
            <w:vAlign w:val="bottom"/>
            <w:gridSpan w:val="8"/>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8"/>
        </w:trPr>
        <w:tc>
          <w:tcPr>
            <w:tcW w:w="180" w:type="dxa"/>
            <w:vAlign w:val="bottom"/>
          </w:tcPr>
          <w:p>
            <w:pPr>
              <w:spacing w:after="0"/>
              <w:rPr>
                <w:sz w:val="19"/>
                <w:szCs w:val="19"/>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07"/>
        </w:trPr>
        <w:tc>
          <w:tcPr>
            <w:tcW w:w="180" w:type="dxa"/>
            <w:vAlign w:val="bottom"/>
          </w:tcPr>
          <w:p>
            <w:pPr>
              <w:spacing w:after="0"/>
              <w:rPr>
                <w:sz w:val="24"/>
                <w:szCs w:val="24"/>
                <w:color w:val="auto"/>
              </w:rPr>
            </w:pPr>
          </w:p>
        </w:tc>
        <w:tc>
          <w:tcPr>
            <w:tcW w:w="86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______________________</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9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60" w:type="dxa"/>
            <w:vAlign w:val="bottom"/>
            <w:gridSpan w:val="13"/>
          </w:tcPr>
          <w:p>
            <w:pPr>
              <w:jc w:val="center"/>
              <w:ind w:right="950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631"/>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gridSpan w:val="2"/>
          </w:tcPr>
          <w:p>
            <w:pPr>
              <w:jc w:val="right"/>
              <w:ind w:right="2774"/>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2"/>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75" w:name="page76"/>
    <w:bookmarkEnd w:id="7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0"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14" w:lineRule="exact"/>
        <w:rPr>
          <w:sz w:val="20"/>
          <w:szCs w:val="20"/>
          <w:color w:val="auto"/>
        </w:rPr>
      </w:pPr>
    </w:p>
    <w:p>
      <w:pPr>
        <w:ind w:left="500"/>
        <w:spacing w:after="0"/>
        <w:tabs>
          <w:tab w:leader="none" w:pos="5420" w:val="left"/>
          <w:tab w:leader="none" w:pos="760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13970</wp:posOffset>
            </wp:positionV>
            <wp:extent cx="31299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2" w:lineRule="exact"/>
        <w:rPr>
          <w:sz w:val="20"/>
          <w:szCs w:val="20"/>
          <w:color w:val="auto"/>
        </w:rPr>
      </w:pPr>
    </w:p>
    <w:p>
      <w:pPr>
        <w:ind w:left="500"/>
        <w:spacing w:after="0"/>
        <w:tabs>
          <w:tab w:leader="none" w:pos="5420" w:val="left"/>
          <w:tab w:leader="none" w:pos="768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13970</wp:posOffset>
            </wp:positionV>
            <wp:extent cx="31299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3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640"/>
          </w:cols>
          <w:pgMar w:left="320" w:top="1302" w:right="9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174" w:lineRule="exact"/>
        <w:rPr>
          <w:sz w:val="20"/>
          <w:szCs w:val="20"/>
          <w:color w:val="auto"/>
        </w:rPr>
      </w:pPr>
    </w:p>
    <w:p>
      <w:pPr>
        <w:ind w:left="820" w:hanging="18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87" w:lineRule="exact"/>
        <w:rPr>
          <w:rFonts w:ascii="Times New Roman" w:cs="Times New Roman" w:eastAsia="Times New Roman" w:hAnsi="Times New Roman"/>
          <w:sz w:val="18"/>
          <w:szCs w:val="18"/>
          <w:color w:val="auto"/>
        </w:rPr>
      </w:pPr>
    </w:p>
    <w:p>
      <w:pPr>
        <w:ind w:right="240" w:firstLine="636"/>
        <w:spacing w:after="0" w:line="331" w:lineRule="auto"/>
        <w:tabs>
          <w:tab w:leader="none" w:pos="80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6"/>
          <w:szCs w:val="16"/>
          <w:color w:val="auto"/>
        </w:rPr>
      </w:pPr>
    </w:p>
    <w:p>
      <w:pPr>
        <w:ind w:right="200" w:firstLine="636"/>
        <w:spacing w:after="0" w:line="268" w:lineRule="auto"/>
        <w:tabs>
          <w:tab w:leader="none" w:pos="8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8"/>
          <w:szCs w:val="18"/>
          <w:color w:val="auto"/>
        </w:rPr>
      </w:pPr>
    </w:p>
    <w:p>
      <w:pPr>
        <w:ind w:right="120" w:firstLine="636"/>
        <w:spacing w:after="0" w:line="256" w:lineRule="auto"/>
        <w:tabs>
          <w:tab w:leader="none" w:pos="8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3" w:lineRule="exact"/>
        <w:rPr>
          <w:sz w:val="20"/>
          <w:szCs w:val="20"/>
          <w:color w:val="auto"/>
        </w:rPr>
      </w:pPr>
    </w:p>
    <w:p>
      <w:pPr>
        <w:ind w:right="460" w:firstLine="636"/>
        <w:spacing w:after="0" w:line="256" w:lineRule="auto"/>
        <w:tabs>
          <w:tab w:leader="none" w:pos="8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right="140" w:firstLine="636"/>
        <w:spacing w:after="0" w:line="256" w:lineRule="auto"/>
        <w:tabs>
          <w:tab w:leader="none" w:pos="8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right="960" w:firstLine="636"/>
        <w:spacing w:after="0" w:line="331" w:lineRule="auto"/>
        <w:tabs>
          <w:tab w:leader="none" w:pos="86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6"/>
          <w:szCs w:val="16"/>
          <w:color w:val="auto"/>
        </w:rPr>
      </w:pPr>
    </w:p>
    <w:p>
      <w:pPr>
        <w:ind w:right="20" w:firstLine="636"/>
        <w:spacing w:after="0" w:line="256" w:lineRule="auto"/>
        <w:tabs>
          <w:tab w:leader="none" w:pos="8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right="120" w:firstLine="636"/>
        <w:spacing w:after="0" w:line="268" w:lineRule="auto"/>
        <w:tabs>
          <w:tab w:leader="none" w:pos="8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sz w:val="20"/>
          <w:szCs w:val="20"/>
          <w:color w:val="auto"/>
        </w:rPr>
      </w:pPr>
    </w:p>
    <w:p>
      <w:pPr>
        <w:ind w:right="380" w:firstLine="636"/>
        <w:spacing w:after="0" w:line="268" w:lineRule="auto"/>
        <w:tabs>
          <w:tab w:leader="none" w:pos="8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8"/>
          <w:szCs w:val="18"/>
          <w:color w:val="auto"/>
        </w:rPr>
      </w:pPr>
    </w:p>
    <w:p>
      <w:pPr>
        <w:ind w:right="340" w:firstLine="636"/>
        <w:spacing w:after="0" w:line="268" w:lineRule="auto"/>
        <w:tabs>
          <w:tab w:leader="none" w:pos="8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636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Vanderhook</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78"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174" w:lineRule="exact"/>
        <w:rPr>
          <w:sz w:val="20"/>
          <w:szCs w:val="20"/>
          <w:color w:val="auto"/>
        </w:rPr>
      </w:pPr>
    </w:p>
    <w:p>
      <w:pPr>
        <w:ind w:left="820" w:hanging="184"/>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87" w:lineRule="exact"/>
        <w:rPr>
          <w:rFonts w:ascii="Times New Roman" w:cs="Times New Roman" w:eastAsia="Times New Roman" w:hAnsi="Times New Roman"/>
          <w:sz w:val="18"/>
          <w:szCs w:val="18"/>
          <w:color w:val="auto"/>
        </w:rPr>
      </w:pPr>
    </w:p>
    <w:p>
      <w:pPr>
        <w:ind w:right="240" w:firstLine="636"/>
        <w:spacing w:after="0" w:line="331" w:lineRule="auto"/>
        <w:tabs>
          <w:tab w:leader="none" w:pos="80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6"/>
          <w:szCs w:val="16"/>
          <w:color w:val="auto"/>
        </w:rPr>
      </w:pPr>
    </w:p>
    <w:p>
      <w:pPr>
        <w:ind w:right="200" w:firstLine="636"/>
        <w:spacing w:after="0" w:line="268" w:lineRule="auto"/>
        <w:tabs>
          <w:tab w:leader="none" w:pos="8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8"/>
          <w:szCs w:val="18"/>
          <w:color w:val="auto"/>
        </w:rPr>
      </w:pPr>
    </w:p>
    <w:p>
      <w:pPr>
        <w:ind w:right="120" w:firstLine="636"/>
        <w:spacing w:after="0" w:line="256" w:lineRule="auto"/>
        <w:tabs>
          <w:tab w:leader="none" w:pos="8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3" w:lineRule="exact"/>
        <w:rPr>
          <w:sz w:val="20"/>
          <w:szCs w:val="20"/>
          <w:color w:val="auto"/>
        </w:rPr>
      </w:pPr>
    </w:p>
    <w:p>
      <w:pPr>
        <w:ind w:right="460" w:firstLine="636"/>
        <w:spacing w:after="0" w:line="256" w:lineRule="auto"/>
        <w:tabs>
          <w:tab w:leader="none" w:pos="8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right="140" w:firstLine="636"/>
        <w:spacing w:after="0" w:line="256" w:lineRule="auto"/>
        <w:tabs>
          <w:tab w:leader="none" w:pos="8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right="960" w:firstLine="636"/>
        <w:spacing w:after="0" w:line="331" w:lineRule="auto"/>
        <w:tabs>
          <w:tab w:leader="none" w:pos="86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6"/>
          <w:szCs w:val="16"/>
          <w:color w:val="auto"/>
        </w:rPr>
      </w:pPr>
    </w:p>
    <w:p>
      <w:pPr>
        <w:ind w:right="20" w:firstLine="636"/>
        <w:spacing w:after="0" w:line="256" w:lineRule="auto"/>
        <w:tabs>
          <w:tab w:leader="none" w:pos="8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right="120" w:firstLine="636"/>
        <w:spacing w:after="0" w:line="268" w:lineRule="auto"/>
        <w:tabs>
          <w:tab w:leader="none" w:pos="8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sz w:val="20"/>
          <w:szCs w:val="20"/>
          <w:color w:val="auto"/>
        </w:rPr>
      </w:pPr>
    </w:p>
    <w:p>
      <w:pPr>
        <w:ind w:right="380" w:firstLine="636"/>
        <w:spacing w:after="0" w:line="268" w:lineRule="auto"/>
        <w:tabs>
          <w:tab w:leader="none" w:pos="8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8"/>
          <w:szCs w:val="18"/>
          <w:color w:val="auto"/>
        </w:rPr>
      </w:pPr>
    </w:p>
    <w:p>
      <w:pPr>
        <w:ind w:right="340" w:firstLine="636"/>
        <w:spacing w:after="0" w:line="268" w:lineRule="auto"/>
        <w:tabs>
          <w:tab w:leader="none" w:pos="8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636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7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June 30, 2025, as filed with the Securities and Exchange Commission on the date hereof (the “Report”), I certify, pursuant to 18 U.S.C. § 1350, as adopted pursuant to § 906 of the Sarbanes-Oxley Act of 2002, that:</w:t>
      </w:r>
    </w:p>
    <w:p>
      <w:pPr>
        <w:spacing w:after="0" w:line="139" w:lineRule="exact"/>
        <w:rPr>
          <w:sz w:val="20"/>
          <w:szCs w:val="20"/>
          <w:color w:val="auto"/>
        </w:rPr>
      </w:pPr>
    </w:p>
    <w:p>
      <w:pPr>
        <w:ind w:left="1260" w:hanging="624"/>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7" w:lineRule="exact"/>
        <w:rPr>
          <w:rFonts w:ascii="Times New Roman" w:cs="Times New Roman" w:eastAsia="Times New Roman" w:hAnsi="Times New Roman"/>
          <w:sz w:val="18"/>
          <w:szCs w:val="18"/>
          <w:color w:val="auto"/>
        </w:rPr>
      </w:pPr>
    </w:p>
    <w:p>
      <w:pPr>
        <w:ind w:left="1260" w:right="580" w:hanging="624"/>
        <w:spacing w:after="0" w:line="268" w:lineRule="auto"/>
        <w:tabs>
          <w:tab w:leader="none" w:pos="12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3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Tim Vanderhook</w:t>
            </w:r>
          </w:p>
        </w:tc>
      </w:tr>
      <w:tr>
        <w:trPr>
          <w:trHeight w:val="212"/>
        </w:trPr>
        <w:tc>
          <w:tcPr>
            <w:tcW w:w="3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Tim Vanderhook</w:t>
            </w:r>
          </w:p>
        </w:tc>
      </w:tr>
      <w:tr>
        <w:trPr>
          <w:trHeight w:val="223"/>
        </w:trPr>
        <w:tc>
          <w:tcPr>
            <w:tcW w:w="3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Chief Executive Officer and Chairman</w:t>
            </w:r>
          </w:p>
        </w:tc>
      </w:tr>
      <w:tr>
        <w:trPr>
          <w:trHeight w:val="228"/>
        </w:trPr>
        <w:tc>
          <w:tcPr>
            <w:tcW w:w="3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Executive Officer)</w:t>
            </w:r>
          </w:p>
        </w:tc>
      </w:tr>
    </w:tbl>
    <w:p>
      <w:pPr>
        <w:sectPr>
          <w:pgSz w:w="11900" w:h="16838" w:orient="portrait"/>
          <w:cols w:equalWidth="0" w:num="1">
            <w:col w:w="11240"/>
          </w:cols>
          <w:pgMar w:left="320" w:top="107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June 30, 2025, as filed with the Securities and Exchange Commission on the date hereof (the “Report”), I certify, pursuant to 18 U.S.C. § 1350, as adopted pursuant to § 906 of the Sarbanes-Oxley Act of 2002, that:</w:t>
      </w:r>
    </w:p>
    <w:p>
      <w:pPr>
        <w:spacing w:after="0" w:line="139" w:lineRule="exact"/>
        <w:rPr>
          <w:sz w:val="20"/>
          <w:szCs w:val="20"/>
          <w:color w:val="auto"/>
        </w:rPr>
      </w:pPr>
    </w:p>
    <w:p>
      <w:pPr>
        <w:ind w:left="1260" w:hanging="624"/>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7" w:lineRule="exact"/>
        <w:rPr>
          <w:rFonts w:ascii="Times New Roman" w:cs="Times New Roman" w:eastAsia="Times New Roman" w:hAnsi="Times New Roman"/>
          <w:sz w:val="18"/>
          <w:szCs w:val="18"/>
          <w:color w:val="auto"/>
        </w:rPr>
      </w:pPr>
    </w:p>
    <w:p>
      <w:pPr>
        <w:ind w:left="1260" w:right="580" w:hanging="624"/>
        <w:spacing w:after="0" w:line="268" w:lineRule="auto"/>
        <w:tabs>
          <w:tab w:leader="none" w:pos="12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Larry Madden</w:t>
            </w:r>
          </w:p>
        </w:tc>
      </w:tr>
      <w:tr>
        <w:trPr>
          <w:trHeight w:val="212"/>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Madden</w:t>
            </w:r>
          </w:p>
        </w:tc>
      </w:tr>
      <w:tr>
        <w:trPr>
          <w:trHeight w:val="223"/>
        </w:trPr>
        <w:tc>
          <w:tcPr>
            <w:tcW w:w="3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Chief Financial Officer</w:t>
            </w:r>
          </w:p>
        </w:tc>
      </w:tr>
      <w:tr>
        <w:trPr>
          <w:trHeight w:val="228"/>
        </w:trPr>
        <w:tc>
          <w:tcPr>
            <w:tcW w:w="3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x"/>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3"/>
    </w:lvl>
  </w:abstractNum>
  <w:abstractNum w:abstractNumId="8">
    <w:nsid w:val="3A95F874"/>
    <w:multiLevelType w:val="hybridMultilevel"/>
    <w:lvl w:ilvl="0">
      <w:lvlJc w:val="left"/>
      <w:lvlText w:val="%1."/>
      <w:numFmt w:val="decimal"/>
      <w:start w:val="4"/>
    </w:lvl>
  </w:abstractNum>
  <w:abstractNum w:abstractNumId="9">
    <w:nsid w:val="8138641"/>
    <w:multiLevelType w:val="hybridMultilevel"/>
    <w:lvl w:ilvl="0">
      <w:lvlJc w:val="left"/>
      <w:lvlText w:val="%1."/>
      <w:numFmt w:val="decimal"/>
      <w:start w:val="5"/>
    </w:lvl>
  </w:abstractNum>
  <w:abstractNum w:abstractNumId="10">
    <w:nsid w:val="1E7FF521"/>
    <w:multiLevelType w:val="hybridMultilevel"/>
    <w:lvl w:ilvl="0">
      <w:lvlJc w:val="left"/>
      <w:lvlText w:val="%1."/>
      <w:numFmt w:val="decimal"/>
      <w:start w:val="8"/>
    </w:lvl>
  </w:abstractNum>
  <w:abstractNum w:abstractNumId="11">
    <w:nsid w:val="7C3DBD3D"/>
    <w:multiLevelType w:val="hybridMultilevel"/>
    <w:lvl w:ilvl="0">
      <w:lvlJc w:val="left"/>
      <w:lvlText w:val="%1."/>
      <w:numFmt w:val="decimal"/>
      <w:start w:val="9"/>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2"/>
    </w:lvl>
  </w:abstractNum>
  <w:abstractNum w:abstractNumId="15">
    <w:nsid w:val="4516DDE9"/>
    <w:multiLevelType w:val="hybridMultilevel"/>
    <w:lvl w:ilvl="0">
      <w:lvlJc w:val="left"/>
      <w:lvlText w:val="%1."/>
      <w:numFmt w:val="decimal"/>
      <w:start w:val="13"/>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2"/>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0" Type="http://schemas.openxmlformats.org/officeDocument/2006/relationships/hyperlink" Target="https://www.sec.gov/Archives/edgar/data/1828791/000156459021014855/dsp-ex31_279.htm" TargetMode="External"/><Relationship Id="rId101" Type="http://schemas.openxmlformats.org/officeDocument/2006/relationships/hyperlink" Target="https://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2025-08-11T15:56:11Z</dcterms:created>
  <dcterms:modified xsi:type="dcterms:W3CDTF">2025-08-11T15:56:11Z</dcterms:modified>
</cp:coreProperties>
</file>