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ind w:left="0" w:right="0" w:firstLine="54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ind w:left="0" w:right="0" w:firstLine="54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lineRule="auto" w:line="288" w:before="0" w:after="0"/>
        <w:ind w:left="0" w:right="0" w:firstLine="540"/>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from_______to_______</w:t>
      </w:r>
    </w:p>
    <w:p>
      <w:pPr>
        <w:pStyle w:val="TextBody"/>
        <w:bidi w:val="0"/>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Commission File Number: 001-40015</w:t>
      </w:r>
    </w:p>
    <w:p>
      <w:pPr>
        <w:pStyle w:val="TextBody"/>
        <w:bidi w:val="0"/>
        <w:spacing w:lineRule="auto" w:line="288" w:before="0" w:after="0"/>
        <w:ind w:left="0" w:right="0" w:firstLine="540"/>
        <w:jc w:val="center"/>
        <w:rPr>
          <w:rFonts w:ascii="Times New Roman;sans-serif" w:hAnsi="Times New Roman;sans-serif"/>
          <w:b w:val="false"/>
          <w:color w:val="000000"/>
          <w:sz w:val="6"/>
        </w:rPr>
      </w:pPr>
      <w:r>
        <w:rPr>
          <w:rFonts w:ascii="Times New Roman;sans-serif" w:hAnsi="Times New Roman;sans-serif"/>
          <w:b w:val="false"/>
          <w:color w:val="000000"/>
          <w:sz w:val="6"/>
        </w:rPr>
        <w:t>______________________________________________________________________________________________________________________________________________________</w:t>
      </w:r>
    </w:p>
    <w:p>
      <w:pPr>
        <w:pStyle w:val="TextBody"/>
        <w:bidi w:val="0"/>
        <w:spacing w:before="120" w:after="283"/>
        <w:ind w:left="0" w:right="0" w:firstLine="540"/>
        <w:jc w:val="center"/>
        <w:rPr/>
      </w:pPr>
      <w:r>
        <w:rPr/>
        <w:drawing>
          <wp:inline distT="0" distB="0" distL="0" distR="0">
            <wp:extent cx="20669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361950"/>
                    </a:xfrm>
                    <a:prstGeom prst="rect">
                      <a:avLst/>
                    </a:prstGeom>
                  </pic:spPr>
                </pic:pic>
              </a:graphicData>
            </a:graphic>
          </wp:inline>
        </w:drawing>
      </w:r>
    </w:p>
    <w:p>
      <w:pPr>
        <w:pStyle w:val="TextBody"/>
        <w:bidi w:val="0"/>
        <w:spacing w:lineRule="auto" w:line="288" w:before="60" w:after="283"/>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ind w:left="0" w:right="0" w:firstLine="540"/>
        <w:jc w:val="center"/>
        <w:rPr>
          <w:rFonts w:ascii="Times New Roman;sans-serif" w:hAnsi="Times New Roman;sans-serif"/>
          <w:b w:val="false"/>
          <w:color w:val="000000"/>
          <w:sz w:val="6"/>
        </w:rPr>
      </w:pPr>
      <w:r>
        <w:rPr>
          <w:rFonts w:ascii="Times New Roman;sans-serif" w:hAnsi="Times New Roman;sans-serif"/>
          <w:b w:val="false"/>
          <w:color w:val="000000"/>
          <w:sz w:val="6"/>
        </w:rPr>
        <w:t>______________________________________________________________________________________________________________________________________________________</w:t>
      </w:r>
    </w:p>
    <w:tbl>
      <w:tblPr>
        <w:tblW w:w="455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85-3447553</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455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2722 Michelson Drive, Suite 100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 92612</w:t>
            </w:r>
          </w:p>
        </w:tc>
      </w:tr>
      <w:tr>
        <w:trPr/>
        <w:tc>
          <w:tcPr>
            <w:tcW w:w="4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and zip code)</w:t>
            </w:r>
          </w:p>
        </w:tc>
      </w:tr>
    </w:tbl>
    <w:p>
      <w:pPr>
        <w:pStyle w:val="TextBody"/>
        <w:bidi w:val="0"/>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(949) 861-8888</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ind w:left="0" w:right="0" w:firstLine="540"/>
        <w:jc w:val="center"/>
        <w:rPr>
          <w:rFonts w:ascii="Times New Roman;sans-serif" w:hAnsi="Times New Roman;sans-serif"/>
          <w:b w:val="false"/>
          <w:color w:val="000000"/>
          <w:sz w:val="6"/>
        </w:rPr>
      </w:pPr>
      <w:r>
        <w:rPr>
          <w:rFonts w:ascii="Times New Roman;sans-serif" w:hAnsi="Times New Roman;sans-serif"/>
          <w:b w:val="false"/>
          <w:color w:val="000000"/>
          <w:sz w:val="6"/>
        </w:rPr>
        <w:t>______________________________________________________________________________________________________________________________________________________</w:t>
      </w:r>
    </w:p>
    <w:p>
      <w:pPr>
        <w:pStyle w:val="TextBody"/>
        <w:bidi w:val="0"/>
        <w:spacing w:lineRule="auto" w:line="288" w:before="12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426" w:type="dxa"/>
        <w:jc w:val="center"/>
        <w:tblInd w:w="0" w:type="dxa"/>
        <w:tblLayout w:type="fixed"/>
        <w:tblCellMar>
          <w:top w:w="28" w:type="dxa"/>
          <w:left w:w="28" w:type="dxa"/>
          <w:bottom w:w="28" w:type="dxa"/>
          <w:right w:w="28" w:type="dxa"/>
        </w:tblCellMar>
      </w:tblPr>
      <w:tblGrid>
        <w:gridCol w:w="1350"/>
        <w:gridCol w:w="1188"/>
        <w:gridCol w:w="1196"/>
        <w:gridCol w:w="109"/>
        <w:gridCol w:w="109"/>
        <w:gridCol w:w="109"/>
        <w:gridCol w:w="519"/>
        <w:gridCol w:w="519"/>
        <w:gridCol w:w="521"/>
        <w:gridCol w:w="109"/>
        <w:gridCol w:w="109"/>
        <w:gridCol w:w="109"/>
        <w:gridCol w:w="1019"/>
        <w:gridCol w:w="1019"/>
        <w:gridCol w:w="1441"/>
      </w:tblGrid>
      <w:tr>
        <w:trPr/>
        <w:tc>
          <w:tcPr>
            <w:tcW w:w="135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Nasdaq Stock Market LLC </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60" w:after="283"/>
        <w:ind w:left="0" w:right="0" w:firstLine="54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ind w:left="0" w:right="0" w:firstLine="54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 xml:space="preserve">x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78"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As of November 2, 2023, there were 15,541,093 shares and 47,082,260 shares of the registrant’s Class A and Class B common stock, respectively,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5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540"/>
                        <w:jc w:val="center"/>
                        <w:rPr/>
                      </w:pPr>
                      <w:r>
                        <w:rPr/>
                      </w:r>
                    </w:p>
                  </w:txbxContent>
                </v:textbox>
                <w10:wrap type="none"/>
              </v:rect>
            </w:pict>
          </mc:Fallback>
        </mc:AlternateContent>
      </w:r>
    </w:p>
    <w:p>
      <w:pPr>
        <w:pStyle w:val="TextBody"/>
        <w:bidi w:val="0"/>
        <w:spacing w:before="240" w:after="283"/>
        <w:ind w:left="0" w:right="0" w:firstLine="540"/>
        <w:jc w:val="center"/>
        <w:rPr/>
      </w:pPr>
      <w:r>
        <w:rPr/>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797"/>
        <w:gridCol w:w="686"/>
        <w:gridCol w:w="686"/>
        <w:gridCol w:w="2509"/>
        <w:gridCol w:w="2489"/>
        <w:gridCol w:w="2523"/>
        <w:gridCol w:w="149"/>
        <w:gridCol w:w="149"/>
        <w:gridCol w:w="217"/>
      </w:tblGrid>
      <w:tr>
        <w:trPr/>
        <w:tc>
          <w:tcPr>
            <w:tcW w:w="79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0">
              <w:r>
                <w:rPr>
                  <w:rStyle w:val="InternetLink"/>
                  <w:rFonts w:ascii="Times New Roman;sans-serif" w:hAnsi="Times New Roman;sans-serif"/>
                  <w:b w:val="false"/>
                  <w:color w:val="0000FF"/>
                  <w:sz w:val="20"/>
                  <w:u w:val="single"/>
                </w:rPr>
                <w:t>Special Note Regarding Forward-Looking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0">
              <w:r>
                <w:rPr>
                  <w:rStyle w:val="InternetLink"/>
                  <w:rFonts w:ascii="Times New Roman;sans-serif" w:hAnsi="Times New Roman;sans-serif"/>
                  <w:b w:val="false"/>
                  <w:strike w:val="false"/>
                  <w:dstrike w:val="false"/>
                  <w:color w:val="000000"/>
                  <w:sz w:val="20"/>
                  <w:u w:val="none"/>
                  <w:effect w:val="none"/>
                </w:rPr>
                <w:t>3</w:t>
              </w:r>
            </w:hyperlink>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3">
              <w:r>
                <w:rPr>
                  <w:rStyle w:val="InternetLink"/>
                  <w:rFonts w:ascii="Times New Roman;sans-serif" w:hAnsi="Times New Roman;sans-serif"/>
                  <w:b/>
                  <w:strike w:val="false"/>
                  <w:dstrike w:val="false"/>
                  <w:color w:val="000000"/>
                  <w:sz w:val="20"/>
                  <w:u w:val="none"/>
                  <w:effect w:val="none"/>
                </w:rPr>
                <w:t>PART I.</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3">
              <w:r>
                <w:rPr>
                  <w:rStyle w:val="InternetLink"/>
                  <w:rFonts w:ascii="Times New Roman;sans-serif" w:hAnsi="Times New Roman;sans-serif"/>
                  <w:b w:val="false"/>
                  <w:color w:val="0000FF"/>
                  <w:sz w:val="20"/>
                  <w:u w:val="single"/>
                </w:rPr>
                <w:t>FINANCIAL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6">
              <w:r>
                <w:rPr>
                  <w:rStyle w:val="InternetLink"/>
                  <w:rFonts w:ascii="Times New Roman;sans-serif" w:hAnsi="Times New Roman;sans-serif"/>
                  <w:b w:val="false"/>
                  <w:strike w:val="false"/>
                  <w:dstrike w:val="false"/>
                  <w:color w:val="000000"/>
                  <w:sz w:val="20"/>
                  <w:u w:val="none"/>
                  <w:effect w:val="none"/>
                </w:rPr>
                <w:t>Item 1.</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6">
              <w:r>
                <w:rPr>
                  <w:rStyle w:val="InternetLink"/>
                  <w:rFonts w:ascii="Times New Roman;sans-serif" w:hAnsi="Times New Roman;sans-serif"/>
                  <w:b w:val="false"/>
                  <w:color w:val="0000FF"/>
                  <w:sz w:val="20"/>
                  <w:u w:val="single"/>
                </w:rPr>
                <w:t>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6">
              <w:r>
                <w:rPr>
                  <w:rStyle w:val="InternetLink"/>
                  <w:rFonts w:ascii="Times New Roman;sans-serif" w:hAnsi="Times New Roman;sans-serif"/>
                  <w:b w:val="false"/>
                  <w:strike w:val="false"/>
                  <w:dstrike w:val="false"/>
                  <w:color w:val="000000"/>
                  <w:sz w:val="20"/>
                  <w:u w:val="none"/>
                  <w:effect w:val="none"/>
                </w:rPr>
                <w:t>4</w:t>
              </w:r>
            </w:hyperlink>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    </w:t>
            </w:r>
            <w:hyperlink w:anchor="i71c2f272b8a142b38fb53197c0158e15_19">
              <w:r>
                <w:rPr>
                  <w:rStyle w:val="InternetLink"/>
                  <w:rFonts w:ascii="Times New Roman;sans-serif" w:hAnsi="Times New Roman;sans-serif"/>
                  <w:b w:val="false"/>
                  <w:color w:val="0000FF"/>
                  <w:sz w:val="20"/>
                  <w:u w:val="single"/>
                </w:rPr>
                <w:t>Condensed Consolidated Statements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9">
              <w:r>
                <w:rPr>
                  <w:rStyle w:val="InternetLink"/>
                  <w:rFonts w:ascii="Times New Roman;sans-serif" w:hAnsi="Times New Roman;sans-serif"/>
                  <w:b w:val="false"/>
                  <w:strike w:val="false"/>
                  <w:dstrike w:val="false"/>
                  <w:color w:val="000000"/>
                  <w:sz w:val="20"/>
                  <w:u w:val="none"/>
                  <w:effect w:val="none"/>
                </w:rPr>
                <w:t>4</w:t>
              </w:r>
            </w:hyperlink>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    </w:t>
            </w:r>
            <w:hyperlink w:anchor="i71c2f272b8a142b38fb53197c0158e15_22">
              <w:r>
                <w:rPr>
                  <w:rStyle w:val="InternetLink"/>
                  <w:rFonts w:ascii="Times New Roman;sans-serif" w:hAnsi="Times New Roman;sans-serif"/>
                  <w:b w:val="false"/>
                  <w:color w:val="0000FF"/>
                  <w:sz w:val="20"/>
                  <w:u w:val="single"/>
                </w:rPr>
                <w:t>Condensed Consolidated Balance Sheets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22">
              <w:r>
                <w:rPr>
                  <w:rStyle w:val="InternetLink"/>
                  <w:rFonts w:ascii="Times New Roman;sans-serif" w:hAnsi="Times New Roman;sans-serif"/>
                  <w:b w:val="false"/>
                  <w:strike w:val="false"/>
                  <w:dstrike w:val="false"/>
                  <w:color w:val="000000"/>
                  <w:sz w:val="20"/>
                  <w:u w:val="none"/>
                  <w:effect w:val="none"/>
                </w:rPr>
                <w:t>5</w:t>
              </w:r>
            </w:hyperlink>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    </w:t>
            </w:r>
            <w:hyperlink w:anchor="i71c2f272b8a142b38fb53197c0158e15_25">
              <w:r>
                <w:rPr>
                  <w:rStyle w:val="InternetLink"/>
                  <w:rFonts w:ascii="Times New Roman;sans-serif" w:hAnsi="Times New Roman;sans-serif"/>
                  <w:b w:val="false"/>
                  <w:color w:val="0000FF"/>
                  <w:sz w:val="20"/>
                  <w:u w:val="single"/>
                </w:rPr>
                <w:t>Condensed Consolidated Statements of Equity</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25">
              <w:r>
                <w:rPr>
                  <w:rStyle w:val="InternetLink"/>
                  <w:rFonts w:ascii="Times New Roman;sans-serif" w:hAnsi="Times New Roman;sans-serif"/>
                  <w:b w:val="false"/>
                  <w:strike w:val="false"/>
                  <w:dstrike w:val="false"/>
                  <w:color w:val="000000"/>
                  <w:sz w:val="20"/>
                  <w:u w:val="none"/>
                  <w:effect w:val="none"/>
                </w:rPr>
                <w:t>6</w:t>
              </w:r>
            </w:hyperlink>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    </w:t>
            </w:r>
            <w:hyperlink w:anchor="i71c2f272b8a142b38fb53197c0158e15_28">
              <w:r>
                <w:rPr>
                  <w:rStyle w:val="InternetLink"/>
                  <w:rFonts w:ascii="Times New Roman;sans-serif" w:hAnsi="Times New Roman;sans-serif"/>
                  <w:b w:val="false"/>
                  <w:color w:val="0000FF"/>
                  <w:sz w:val="20"/>
                  <w:u w:val="single"/>
                </w:rPr>
                <w:t>Condensed Consolidated Statements of Cash Flows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28">
              <w:r>
                <w:rPr>
                  <w:rStyle w:val="InternetLink"/>
                  <w:rFonts w:ascii="Times New Roman;sans-serif" w:hAnsi="Times New Roman;sans-serif"/>
                  <w:b w:val="false"/>
                  <w:strike w:val="false"/>
                  <w:dstrike w:val="false"/>
                  <w:color w:val="000000"/>
                  <w:sz w:val="20"/>
                  <w:u w:val="none"/>
                  <w:effect w:val="none"/>
                </w:rPr>
                <w:t>8</w:t>
              </w:r>
            </w:hyperlink>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    </w:t>
            </w:r>
            <w:hyperlink w:anchor="i71c2f272b8a142b38fb53197c0158e15_31">
              <w:r>
                <w:rPr>
                  <w:rStyle w:val="InternetLink"/>
                  <w:rFonts w:ascii="Times New Roman;sans-serif" w:hAnsi="Times New Roman;sans-serif"/>
                  <w:b w:val="false"/>
                  <w:color w:val="0000FF"/>
                  <w:sz w:val="20"/>
                  <w:u w:val="single"/>
                </w:rPr>
                <w:t>Notes to the Condensed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31">
              <w:r>
                <w:rPr>
                  <w:rStyle w:val="InternetLink"/>
                  <w:rFonts w:ascii="Times New Roman;sans-serif" w:hAnsi="Times New Roman;sans-serif"/>
                  <w:b w:val="false"/>
                  <w:strike w:val="false"/>
                  <w:dstrike w:val="false"/>
                  <w:color w:val="000000"/>
                  <w:sz w:val="20"/>
                  <w:u w:val="none"/>
                  <w:effect w:val="none"/>
                </w:rPr>
                <w:t>9</w:t>
              </w:r>
            </w:hyperlink>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76">
              <w:r>
                <w:rPr>
                  <w:rStyle w:val="InternetLink"/>
                  <w:rFonts w:ascii="Times New Roman;sans-serif" w:hAnsi="Times New Roman;sans-serif"/>
                  <w:b w:val="false"/>
                  <w:strike w:val="false"/>
                  <w:dstrike w:val="false"/>
                  <w:color w:val="000000"/>
                  <w:sz w:val="20"/>
                  <w:u w:val="none"/>
                  <w:effect w:val="none"/>
                </w:rPr>
                <w:t>Item 2.</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76">
              <w:r>
                <w:rPr>
                  <w:rStyle w:val="InternetLink"/>
                  <w:rFonts w:ascii="Times New Roman;sans-serif" w:hAnsi="Times New Roman;sans-serif"/>
                  <w:b w:val="false"/>
                  <w:strike w:val="false"/>
                  <w:dstrike w:val="false"/>
                  <w:color w:val="000000"/>
                  <w:sz w:val="20"/>
                  <w:u w:val="none"/>
                  <w:effect w:val="none"/>
                </w:rPr>
                <w:t>21</w:t>
              </w:r>
            </w:hyperlink>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12">
              <w:r>
                <w:rPr>
                  <w:rStyle w:val="InternetLink"/>
                  <w:rFonts w:ascii="Times New Roman;sans-serif" w:hAnsi="Times New Roman;sans-serif"/>
                  <w:b w:val="false"/>
                  <w:strike w:val="false"/>
                  <w:dstrike w:val="false"/>
                  <w:color w:val="000000"/>
                  <w:sz w:val="20"/>
                  <w:u w:val="none"/>
                  <w:effect w:val="none"/>
                </w:rPr>
                <w:t>Item 3.</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12">
              <w:r>
                <w:rPr>
                  <w:rStyle w:val="InternetLink"/>
                  <w:rFonts w:ascii="Times New Roman;sans-serif" w:hAnsi="Times New Roman;sans-serif"/>
                  <w:b w:val="false"/>
                  <w:color w:val="0000FF"/>
                  <w:sz w:val="20"/>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12">
              <w:r>
                <w:rPr>
                  <w:rStyle w:val="InternetLink"/>
                  <w:rFonts w:ascii="Times New Roman;sans-serif" w:hAnsi="Times New Roman;sans-serif"/>
                  <w:b w:val="false"/>
                  <w:strike w:val="false"/>
                  <w:dstrike w:val="false"/>
                  <w:color w:val="000000"/>
                  <w:sz w:val="20"/>
                  <w:u w:val="none"/>
                  <w:effect w:val="none"/>
                </w:rPr>
                <w:t>40</w:t>
              </w:r>
            </w:hyperlink>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15">
              <w:r>
                <w:rPr>
                  <w:rStyle w:val="InternetLink"/>
                  <w:rFonts w:ascii="Times New Roman;sans-serif" w:hAnsi="Times New Roman;sans-serif"/>
                  <w:b w:val="false"/>
                  <w:strike w:val="false"/>
                  <w:dstrike w:val="false"/>
                  <w:color w:val="000000"/>
                  <w:sz w:val="20"/>
                  <w:u w:val="none"/>
                  <w:effect w:val="none"/>
                </w:rPr>
                <w:t>Item 4.</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15">
              <w:r>
                <w:rPr>
                  <w:rStyle w:val="InternetLink"/>
                  <w:rFonts w:ascii="Times New Roman;sans-serif" w:hAnsi="Times New Roman;sans-serif"/>
                  <w:b w:val="false"/>
                  <w:color w:val="0000FF"/>
                  <w:sz w:val="20"/>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15">
              <w:r>
                <w:rPr>
                  <w:rStyle w:val="InternetLink"/>
                  <w:rFonts w:ascii="Times New Roman;sans-serif" w:hAnsi="Times New Roman;sans-serif"/>
                  <w:b w:val="false"/>
                  <w:strike w:val="false"/>
                  <w:dstrike w:val="false"/>
                  <w:color w:val="000000"/>
                  <w:sz w:val="20"/>
                  <w:u w:val="none"/>
                  <w:effect w:val="none"/>
                </w:rPr>
                <w:t>41</w:t>
              </w:r>
            </w:hyperlink>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18">
              <w:r>
                <w:rPr>
                  <w:rStyle w:val="InternetLink"/>
                  <w:rFonts w:ascii="Times New Roman;sans-serif" w:hAnsi="Times New Roman;sans-serif"/>
                  <w:b/>
                  <w:strike w:val="false"/>
                  <w:dstrike w:val="false"/>
                  <w:color w:val="000000"/>
                  <w:sz w:val="20"/>
                  <w:u w:val="none"/>
                  <w:effect w:val="none"/>
                </w:rPr>
                <w:t>PART II.</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18">
              <w:r>
                <w:rPr>
                  <w:rStyle w:val="InternetLink"/>
                  <w:rFonts w:ascii="Times New Roman;sans-serif" w:hAnsi="Times New Roman;sans-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18">
              <w:r>
                <w:rPr>
                  <w:rStyle w:val="InternetLink"/>
                  <w:rFonts w:ascii="Times New Roman;sans-serif" w:hAnsi="Times New Roman;sans-serif"/>
                  <w:b w:val="false"/>
                  <w:strike w:val="false"/>
                  <w:dstrike w:val="false"/>
                  <w:color w:val="000000"/>
                  <w:sz w:val="20"/>
                  <w:u w:val="none"/>
                  <w:effect w:val="none"/>
                </w:rPr>
                <w:t>42</w:t>
              </w:r>
            </w:hyperlink>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21">
              <w:r>
                <w:rPr>
                  <w:rStyle w:val="InternetLink"/>
                  <w:rFonts w:ascii="Times New Roman;sans-serif" w:hAnsi="Times New Roman;sans-serif"/>
                  <w:b w:val="false"/>
                  <w:strike w:val="false"/>
                  <w:dstrike w:val="false"/>
                  <w:color w:val="000000"/>
                  <w:sz w:val="20"/>
                  <w:u w:val="none"/>
                  <w:effect w:val="none"/>
                </w:rPr>
                <w:t>Item 1.</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21">
              <w:r>
                <w:rPr>
                  <w:rStyle w:val="InternetLink"/>
                  <w:rFonts w:ascii="Times New Roman;sans-serif" w:hAnsi="Times New Roman;sans-serif"/>
                  <w:b w:val="false"/>
                  <w:color w:val="0000FF"/>
                  <w:sz w:val="20"/>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21">
              <w:r>
                <w:rPr>
                  <w:rStyle w:val="InternetLink"/>
                  <w:rFonts w:ascii="Times New Roman;sans-serif" w:hAnsi="Times New Roman;sans-serif"/>
                  <w:b w:val="false"/>
                  <w:strike w:val="false"/>
                  <w:dstrike w:val="false"/>
                  <w:color w:val="000000"/>
                  <w:sz w:val="20"/>
                  <w:u w:val="none"/>
                  <w:effect w:val="none"/>
                </w:rPr>
                <w:t>42</w:t>
              </w:r>
            </w:hyperlink>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24">
              <w:r>
                <w:rPr>
                  <w:rStyle w:val="InternetLink"/>
                  <w:rFonts w:ascii="Times New Roman;sans-serif" w:hAnsi="Times New Roman;sans-serif"/>
                  <w:b w:val="false"/>
                  <w:strike w:val="false"/>
                  <w:dstrike w:val="false"/>
                  <w:color w:val="000000"/>
                  <w:sz w:val="20"/>
                  <w:u w:val="none"/>
                  <w:effect w:val="none"/>
                </w:rPr>
                <w:t>Item 1A.</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24">
              <w:r>
                <w:rPr>
                  <w:rStyle w:val="InternetLink"/>
                  <w:rFonts w:ascii="Times New Roman;sans-serif" w:hAnsi="Times New Roman;sans-serif"/>
                  <w:b w:val="false"/>
                  <w:color w:val="0000FF"/>
                  <w:sz w:val="20"/>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24">
              <w:r>
                <w:rPr>
                  <w:rStyle w:val="InternetLink"/>
                  <w:rFonts w:ascii="Times New Roman;sans-serif" w:hAnsi="Times New Roman;sans-serif"/>
                  <w:b w:val="false"/>
                  <w:strike w:val="false"/>
                  <w:dstrike w:val="false"/>
                  <w:color w:val="000000"/>
                  <w:sz w:val="20"/>
                  <w:u w:val="none"/>
                  <w:effect w:val="none"/>
                </w:rPr>
                <w:t>42</w:t>
              </w:r>
            </w:hyperlink>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27">
              <w:r>
                <w:rPr>
                  <w:rStyle w:val="InternetLink"/>
                  <w:rFonts w:ascii="Times New Roman;sans-serif" w:hAnsi="Times New Roman;sans-serif"/>
                  <w:b w:val="false"/>
                  <w:strike w:val="false"/>
                  <w:dstrike w:val="false"/>
                  <w:color w:val="000000"/>
                  <w:sz w:val="20"/>
                  <w:u w:val="none"/>
                  <w:effect w:val="none"/>
                </w:rPr>
                <w:t>Item 2.</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27">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r>
              <w:rPr>
                <w:color w:val="000000"/>
              </w:rPr>
              <w:t xml:space="preserve"> </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27">
              <w:r>
                <w:rPr>
                  <w:rStyle w:val="InternetLink"/>
                  <w:rFonts w:ascii="Times New Roman;sans-serif" w:hAnsi="Times New Roman;sans-serif"/>
                  <w:b w:val="false"/>
                  <w:strike w:val="false"/>
                  <w:dstrike w:val="false"/>
                  <w:color w:val="000000"/>
                  <w:sz w:val="20"/>
                  <w:u w:val="none"/>
                  <w:effect w:val="none"/>
                </w:rPr>
                <w:t>67</w:t>
              </w:r>
            </w:hyperlink>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30">
              <w:r>
                <w:rPr>
                  <w:rStyle w:val="InternetLink"/>
                  <w:rFonts w:ascii="Times New Roman;sans-serif" w:hAnsi="Times New Roman;sans-serif"/>
                  <w:b w:val="false"/>
                  <w:strike w:val="false"/>
                  <w:dstrike w:val="false"/>
                  <w:color w:val="000000"/>
                  <w:sz w:val="20"/>
                  <w:u w:val="none"/>
                  <w:effect w:val="none"/>
                </w:rPr>
                <w:t>Item 3.</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30">
              <w:r>
                <w:rPr>
                  <w:rStyle w:val="InternetLink"/>
                  <w:rFonts w:ascii="Times New Roman;sans-serif" w:hAnsi="Times New Roman;sans-serif"/>
                  <w:b w:val="false"/>
                  <w:color w:val="0000FF"/>
                  <w:sz w:val="20"/>
                  <w:u w:val="singl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30">
              <w:r>
                <w:rPr>
                  <w:rStyle w:val="InternetLink"/>
                  <w:rFonts w:ascii="Times New Roman;sans-serif" w:hAnsi="Times New Roman;sans-serif"/>
                  <w:b w:val="false"/>
                  <w:strike w:val="false"/>
                  <w:dstrike w:val="false"/>
                  <w:color w:val="000000"/>
                  <w:sz w:val="20"/>
                  <w:u w:val="none"/>
                  <w:effect w:val="none"/>
                </w:rPr>
                <w:t>67</w:t>
              </w:r>
            </w:hyperlink>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33">
              <w:r>
                <w:rPr>
                  <w:rStyle w:val="InternetLink"/>
                  <w:rFonts w:ascii="Times New Roman;sans-serif" w:hAnsi="Times New Roman;sans-serif"/>
                  <w:b w:val="false"/>
                  <w:strike w:val="false"/>
                  <w:dstrike w:val="false"/>
                  <w:color w:val="000000"/>
                  <w:sz w:val="20"/>
                  <w:u w:val="none"/>
                  <w:effect w:val="none"/>
                </w:rPr>
                <w:t>Item 4.</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33">
              <w:r>
                <w:rPr>
                  <w:rStyle w:val="InternetLink"/>
                  <w:rFonts w:ascii="Times New Roman;sans-serif" w:hAnsi="Times New Roman;sans-serif"/>
                  <w:b w:val="false"/>
                  <w:color w:val="0000FF"/>
                  <w:sz w:val="20"/>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33">
              <w:r>
                <w:rPr>
                  <w:rStyle w:val="InternetLink"/>
                  <w:rFonts w:ascii="Times New Roman;sans-serif" w:hAnsi="Times New Roman;sans-serif"/>
                  <w:b w:val="false"/>
                  <w:strike w:val="false"/>
                  <w:dstrike w:val="false"/>
                  <w:color w:val="000000"/>
                  <w:sz w:val="20"/>
                  <w:u w:val="none"/>
                  <w:effect w:val="none"/>
                </w:rPr>
                <w:t>67</w:t>
              </w:r>
            </w:hyperlink>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36">
              <w:r>
                <w:rPr>
                  <w:rStyle w:val="InternetLink"/>
                  <w:rFonts w:ascii="Times New Roman;sans-serif" w:hAnsi="Times New Roman;sans-serif"/>
                  <w:b w:val="false"/>
                  <w:strike w:val="false"/>
                  <w:dstrike w:val="false"/>
                  <w:color w:val="000000"/>
                  <w:sz w:val="20"/>
                  <w:u w:val="none"/>
                  <w:effect w:val="none"/>
                </w:rPr>
                <w:t>Item 5.</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36">
              <w:r>
                <w:rPr>
                  <w:rStyle w:val="InternetLink"/>
                  <w:rFonts w:ascii="Times New Roman;sans-serif" w:hAnsi="Times New Roman;sans-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36">
              <w:r>
                <w:rPr>
                  <w:rStyle w:val="InternetLink"/>
                  <w:rFonts w:ascii="Times New Roman;sans-serif" w:hAnsi="Times New Roman;sans-serif"/>
                  <w:b w:val="false"/>
                  <w:strike w:val="false"/>
                  <w:dstrike w:val="false"/>
                  <w:color w:val="000000"/>
                  <w:sz w:val="20"/>
                  <w:u w:val="none"/>
                  <w:effect w:val="none"/>
                </w:rPr>
                <w:t>67</w:t>
              </w:r>
            </w:hyperlink>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39">
              <w:r>
                <w:rPr>
                  <w:rStyle w:val="InternetLink"/>
                  <w:rFonts w:ascii="Times New Roman;sans-serif" w:hAnsi="Times New Roman;sans-serif"/>
                  <w:b w:val="false"/>
                  <w:strike w:val="false"/>
                  <w:dstrike w:val="false"/>
                  <w:color w:val="000000"/>
                  <w:sz w:val="20"/>
                  <w:u w:val="none"/>
                  <w:effect w:val="none"/>
                </w:rPr>
                <w:t>Item 6.</w:t>
              </w:r>
            </w:hyperlink>
          </w:p>
        </w:tc>
        <w:tc>
          <w:tcPr>
            <w:tcW w:w="7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39">
              <w:r>
                <w:rPr>
                  <w:rStyle w:val="InternetLink"/>
                  <w:rFonts w:ascii="Times New Roman;sans-serif" w:hAnsi="Times New Roman;sans-serif"/>
                  <w:b w:val="false"/>
                  <w:color w:val="0000FF"/>
                  <w:sz w:val="20"/>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39">
              <w:r>
                <w:rPr>
                  <w:rStyle w:val="InternetLink"/>
                  <w:rFonts w:ascii="Times New Roman;sans-serif" w:hAnsi="Times New Roman;sans-serif"/>
                  <w:b w:val="false"/>
                  <w:strike w:val="false"/>
                  <w:dstrike w:val="false"/>
                  <w:color w:val="000000"/>
                  <w:sz w:val="20"/>
                  <w:u w:val="none"/>
                  <w:effect w:val="none"/>
                </w:rPr>
                <w:t>68</w:t>
              </w:r>
            </w:hyperlink>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142">
              <w:r>
                <w:rPr>
                  <w:rStyle w:val="InternetLink"/>
                  <w:rFonts w:ascii="Times New Roman;sans-serif" w:hAnsi="Times New Roman;sans-serif"/>
                  <w:b w:val="false"/>
                  <w:color w:val="0000FF"/>
                  <w:sz w:val="20"/>
                  <w:u w:val="single"/>
                </w:rPr>
                <w:t>Signatures</w:t>
              </w:r>
            </w:hyperlink>
          </w:p>
        </w:tc>
        <w:tc>
          <w:tcPr>
            <w:tcW w:w="7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142">
              <w:r>
                <w:rPr>
                  <w:rStyle w:val="InternetLink"/>
                  <w:rFonts w:ascii="Times New Roman;sans-serif" w:hAnsi="Times New Roman;sans-serif"/>
                  <w:b w:val="false"/>
                  <w:strike w:val="false"/>
                  <w:dstrike w:val="false"/>
                  <w:color w:val="000000"/>
                  <w:sz w:val="20"/>
                  <w:u w:val="none"/>
                  <w:effect w:val="none"/>
                </w:rPr>
                <w:t>69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240" w:after="283"/>
        <w:ind w:left="0" w:right="0" w:firstLine="540"/>
        <w:jc w:val="center"/>
        <w:rPr/>
      </w:pPr>
      <w:r>
        <w:rPr/>
      </w:r>
    </w:p>
    <w:p>
      <w:pPr>
        <w:pStyle w:val="TextBody"/>
        <w:bidi w:val="0"/>
        <w:spacing w:lineRule="auto" w:line="288" w:before="360" w:after="283"/>
        <w:jc w:val="left"/>
        <w:rPr>
          <w:rFonts w:ascii="Times New Roman;sans-serif" w:hAnsi="Times New Roman;sans-serif"/>
          <w:b/>
          <w:color w:val="231F20"/>
          <w:sz w:val="20"/>
        </w:rPr>
      </w:pPr>
      <w:r>
        <w:rPr>
          <w:rFonts w:ascii="Times New Roman;sans-serif" w:hAnsi="Times New Roman;sans-serif"/>
          <w:b/>
          <w:color w:val="231F20"/>
          <w:sz w:val="20"/>
        </w:rPr>
        <w:t>Special Note Regarding Forward-Looking Statements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This Quarterly Report contains forward-looking statements within the meaning of Section 27A of the Securities Act of 1933, as amended (the </w:t>
      </w:r>
      <w:r>
        <w:rPr>
          <w:color w:val="231F20"/>
        </w:rPr>
        <w:t>“</w:t>
      </w:r>
      <w:r>
        <w:rPr>
          <w:rFonts w:ascii="Times New Roman;sans-serif" w:hAnsi="Times New Roman;sans-serif"/>
          <w:b w:val="false"/>
          <w:i/>
          <w:color w:val="000000"/>
          <w:sz w:val="20"/>
        </w:rPr>
        <w:t>Securities Act</w:t>
      </w:r>
      <w:r>
        <w:rPr>
          <w:color w:val="231F20"/>
        </w:rPr>
        <w:t>”</w:t>
      </w:r>
      <w:r>
        <w:rPr>
          <w:rFonts w:ascii="Times New Roman;sans-serif" w:hAnsi="Times New Roman;sans-serif"/>
          <w:b w:val="false"/>
          <w:i/>
          <w:color w:val="000000"/>
          <w:sz w:val="20"/>
        </w:rPr>
        <w:t>), and Section 21E of the Securities Exchange Act of 1934, as amended (the “Exchange Act”), which statements involve substantial risks and uncertainties. In some cases, you can identify forward-looking statements by words such as “may,” “will,” “should,” “could,” “intend,” “consider,” “expect,” “plan,” “anticipate,” “believe,” “estimate,” “predict”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Quarterly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strategy and business aspirations for our demand side platform in enabling the programmatic purchase of advertising in the digital advertising industry; our product strategy; our efforts to enhance the security and privacy of our platform; the potential impacts of macroeconomic and geopolitical events on our business and the business of our customers, suppliers and channel partners, and the broader economy;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forward-looking statements contained in this Quarterly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“Risk Factors” in this Quarterly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Quarterly Report speaks only as of the date on which we make it. We undertake no obligation to publicly update any forward-looking statement, whether as a result of new information, future developments or otherwise, except as may be required by applicable securities laws.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use the "Investor Relations" section of our website, our LinkedIn account, and the LinkedIn account of our Chief Executive Officer, Tim 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240" w:after="283"/>
        <w:ind w:left="0" w:right="0" w:firstLine="540"/>
        <w:jc w:val="center"/>
        <w:rPr/>
      </w:pPr>
      <w:r>
        <w:rPr/>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1794"/>
        <w:gridCol w:w="1499"/>
        <w:gridCol w:w="151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9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w:t>
            </w:r>
          </w:p>
        </w:tc>
      </w:tr>
      <w:tr>
        <w:trPr/>
        <w:tc>
          <w:tcPr>
            <w:tcW w:w="4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41"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w:t>
            </w:r>
          </w:p>
        </w:tc>
      </w:tr>
    </w:tbl>
    <w:p>
      <w:pPr>
        <w:pStyle w:val="TextBody"/>
        <w:bidi w:val="0"/>
        <w:spacing w:lineRule="auto" w:line="288" w:before="240" w:after="283"/>
        <w:ind w:left="0" w:right="0" w:firstLine="5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share and per share data)</w:t>
      </w:r>
    </w:p>
    <w:tbl>
      <w:tblPr>
        <w:tblW w:w="8275" w:type="dxa"/>
        <w:jc w:val="center"/>
        <w:tblInd w:w="0" w:type="dxa"/>
        <w:tblLayout w:type="fixed"/>
        <w:tblCellMar>
          <w:top w:w="28" w:type="dxa"/>
          <w:left w:w="28" w:type="dxa"/>
          <w:bottom w:w="28" w:type="dxa"/>
          <w:right w:w="28" w:type="dxa"/>
        </w:tblCellMar>
      </w:tblPr>
      <w:tblGrid>
        <w:gridCol w:w="1926"/>
        <w:gridCol w:w="1696"/>
        <w:gridCol w:w="1717"/>
        <w:gridCol w:w="240"/>
        <w:gridCol w:w="941"/>
        <w:gridCol w:w="124"/>
        <w:gridCol w:w="109"/>
        <w:gridCol w:w="109"/>
        <w:gridCol w:w="109"/>
        <w:gridCol w:w="231"/>
        <w:gridCol w:w="905"/>
        <w:gridCol w:w="168"/>
      </w:tblGrid>
      <w:tr>
        <w:trPr/>
        <w:tc>
          <w:tcPr>
            <w:tcW w:w="192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br/>
              <w:t>December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314,074 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314,862 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378,488 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377,883 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deferred revenue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87,264 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operating lease liabilities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13)</w:t>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10,000,000</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 none</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$0.001 par value</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450,000,000</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 15,746,064 and 14,783,886</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 15,541,093 and 14,643,798</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$0.001 par value</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150,000,000</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 47,082,260 and 47,082,260</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204,971 and 140,088 shares held</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attributable to Viant Technology Inc.</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378,488 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377,883 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12524" w:type="dxa"/>
        <w:jc w:val="center"/>
        <w:tblInd w:w="0" w:type="dxa"/>
        <w:tblLayout w:type="fixed"/>
        <w:tblCellMar>
          <w:top w:w="28" w:type="dxa"/>
          <w:left w:w="28" w:type="dxa"/>
          <w:bottom w:w="28" w:type="dxa"/>
          <w:right w:w="28" w:type="dxa"/>
        </w:tblCellMar>
      </w:tblPr>
      <w:tblGrid>
        <w:gridCol w:w="619"/>
        <w:gridCol w:w="268"/>
        <w:gridCol w:w="269"/>
        <w:gridCol w:w="199"/>
        <w:gridCol w:w="199"/>
        <w:gridCol w:w="203"/>
        <w:gridCol w:w="109"/>
        <w:gridCol w:w="109"/>
        <w:gridCol w:w="109"/>
        <w:gridCol w:w="212"/>
        <w:gridCol w:w="359"/>
        <w:gridCol w:w="120"/>
        <w:gridCol w:w="109"/>
        <w:gridCol w:w="109"/>
        <w:gridCol w:w="109"/>
        <w:gridCol w:w="199"/>
        <w:gridCol w:w="199"/>
        <w:gridCol w:w="203"/>
        <w:gridCol w:w="109"/>
        <w:gridCol w:w="109"/>
        <w:gridCol w:w="109"/>
        <w:gridCol w:w="212"/>
        <w:gridCol w:w="359"/>
        <w:gridCol w:w="120"/>
        <w:gridCol w:w="109"/>
        <w:gridCol w:w="109"/>
        <w:gridCol w:w="109"/>
        <w:gridCol w:w="196"/>
        <w:gridCol w:w="736"/>
        <w:gridCol w:w="109"/>
        <w:gridCol w:w="109"/>
        <w:gridCol w:w="109"/>
        <w:gridCol w:w="109"/>
        <w:gridCol w:w="213"/>
        <w:gridCol w:w="719"/>
        <w:gridCol w:w="119"/>
        <w:gridCol w:w="109"/>
        <w:gridCol w:w="109"/>
        <w:gridCol w:w="109"/>
        <w:gridCol w:w="195"/>
        <w:gridCol w:w="195"/>
        <w:gridCol w:w="196"/>
        <w:gridCol w:w="109"/>
        <w:gridCol w:w="109"/>
        <w:gridCol w:w="109"/>
        <w:gridCol w:w="196"/>
        <w:gridCol w:w="571"/>
        <w:gridCol w:w="109"/>
        <w:gridCol w:w="109"/>
        <w:gridCol w:w="109"/>
        <w:gridCol w:w="109"/>
        <w:gridCol w:w="226"/>
        <w:gridCol w:w="849"/>
        <w:gridCol w:w="126"/>
        <w:gridCol w:w="109"/>
        <w:gridCol w:w="109"/>
        <w:gridCol w:w="109"/>
        <w:gridCol w:w="196"/>
        <w:gridCol w:w="73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impact of accounting adoption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1, 2023</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265,559</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in connection with equity-based compensation plans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treasury stock in connection with the taxes paid related to net share settlement of equity awards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Reissuance of treasury stock in connection with equity-based compensation plans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equity to noncontrolling interests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member tax distributions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8,872</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(9,376)</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(39,425)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in connection with equity-based compensation plans</w:t>
            </w:r>
          </w:p>
        </w:tc>
        <w:tc>
          <w:tcPr>
            <w:tcW w:w="6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treasury stock in connection with the taxes paid related to net share settlement of equity awards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Reissuance of treasury stock in connection with equity-based compensation plans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equity to noncontrolling interests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member tax distributions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(3,203)</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2023</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(41,636)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in connection with equity-based compensation plans</w:t>
            </w:r>
          </w:p>
        </w:tc>
        <w:tc>
          <w:tcPr>
            <w:tcW w:w="6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treasury stock in connection with the taxes paid related to net share settlement of equity awards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Reissuance of treasury stock in connection with equity-based compensation plans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equity to noncontrolling interests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member tax distributions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10,136</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September 30, 2023</w:t>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(42,993)</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203,983 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12465" w:type="dxa"/>
        <w:jc w:val="center"/>
        <w:tblInd w:w="0" w:type="dxa"/>
        <w:tblLayout w:type="fixed"/>
        <w:tblCellMar>
          <w:top w:w="28" w:type="dxa"/>
          <w:left w:w="28" w:type="dxa"/>
          <w:bottom w:w="28" w:type="dxa"/>
          <w:right w:w="28" w:type="dxa"/>
        </w:tblCellMar>
      </w:tblPr>
      <w:tblGrid>
        <w:gridCol w:w="619"/>
        <w:gridCol w:w="268"/>
        <w:gridCol w:w="269"/>
        <w:gridCol w:w="199"/>
        <w:gridCol w:w="199"/>
        <w:gridCol w:w="203"/>
        <w:gridCol w:w="109"/>
        <w:gridCol w:w="109"/>
        <w:gridCol w:w="109"/>
        <w:gridCol w:w="212"/>
        <w:gridCol w:w="359"/>
        <w:gridCol w:w="120"/>
        <w:gridCol w:w="109"/>
        <w:gridCol w:w="109"/>
        <w:gridCol w:w="109"/>
        <w:gridCol w:w="199"/>
        <w:gridCol w:w="199"/>
        <w:gridCol w:w="203"/>
        <w:gridCol w:w="109"/>
        <w:gridCol w:w="109"/>
        <w:gridCol w:w="109"/>
        <w:gridCol w:w="212"/>
        <w:gridCol w:w="359"/>
        <w:gridCol w:w="120"/>
        <w:gridCol w:w="109"/>
        <w:gridCol w:w="109"/>
        <w:gridCol w:w="109"/>
        <w:gridCol w:w="196"/>
        <w:gridCol w:w="646"/>
        <w:gridCol w:w="109"/>
        <w:gridCol w:w="109"/>
        <w:gridCol w:w="109"/>
        <w:gridCol w:w="109"/>
        <w:gridCol w:w="213"/>
        <w:gridCol w:w="719"/>
        <w:gridCol w:w="119"/>
        <w:gridCol w:w="109"/>
        <w:gridCol w:w="109"/>
        <w:gridCol w:w="109"/>
        <w:gridCol w:w="210"/>
        <w:gridCol w:w="211"/>
        <w:gridCol w:w="196"/>
        <w:gridCol w:w="109"/>
        <w:gridCol w:w="109"/>
        <w:gridCol w:w="109"/>
        <w:gridCol w:w="196"/>
        <w:gridCol w:w="571"/>
        <w:gridCol w:w="109"/>
        <w:gridCol w:w="109"/>
        <w:gridCol w:w="109"/>
        <w:gridCol w:w="109"/>
        <w:gridCol w:w="226"/>
        <w:gridCol w:w="849"/>
        <w:gridCol w:w="126"/>
        <w:gridCol w:w="109"/>
        <w:gridCol w:w="109"/>
        <w:gridCol w:w="109"/>
        <w:gridCol w:w="196"/>
        <w:gridCol w:w="73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of Class B common stock for Class A common stock</w:t>
            </w:r>
          </w:p>
        </w:tc>
        <w:tc>
          <w:tcPr>
            <w:tcW w:w="6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in connection with equity-based compensation plans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Reissuance of treasury stock in connection with equity-based compensation plans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equity to noncontrolling interests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member tax distributions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(25,979)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in connection with equity-based compensation plans</w:t>
            </w:r>
          </w:p>
        </w:tc>
        <w:tc>
          <w:tcPr>
            <w:tcW w:w="6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treasury stock in connection with the taxes paid related to net share settlement of equity awards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equity to noncontrolling interests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member tax distributions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2022</w:t>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270,177</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in connection with equity-based compensation plans</w:t>
            </w:r>
          </w:p>
        </w:tc>
        <w:tc>
          <w:tcPr>
            <w:tcW w:w="6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treasury stock in connection with the taxes paid related to net share settlement of equity awards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Reissuance of treasury stock in connection with the taxes paid related to net share settlement of equity awards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equity to noncontrolling interests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member tax distributions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September 30, 2022</w:t>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265,894</w:t>
            </w:r>
          </w:p>
        </w:tc>
      </w:tr>
    </w:tbl>
    <w:p>
      <w:pPr>
        <w:pStyle w:val="TextBody"/>
        <w:bidi w:val="0"/>
        <w:spacing w:lineRule="auto" w:line="288" w:before="240" w:after="283"/>
        <w:ind w:left="0" w:right="0" w:firstLine="5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pStyle w:val="TextBody"/>
        <w:bidi w:val="0"/>
        <w:spacing w:before="240" w:after="283"/>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p>
      <w:pPr>
        <w:pStyle w:val="TextBody"/>
        <w:bidi w:val="0"/>
        <w:spacing w:before="240" w:after="283"/>
        <w:ind w:left="0" w:right="0" w:firstLine="540"/>
        <w:jc w:val="center"/>
        <w:rPr/>
      </w:pPr>
      <w:r>
        <w:rPr/>
      </w:r>
    </w:p>
    <w:tbl>
      <w:tblPr>
        <w:tblW w:w="9849" w:type="dxa"/>
        <w:jc w:val="center"/>
        <w:tblInd w:w="0" w:type="dxa"/>
        <w:tblLayout w:type="fixed"/>
        <w:tblCellMar>
          <w:top w:w="28" w:type="dxa"/>
          <w:left w:w="28" w:type="dxa"/>
          <w:bottom w:w="28" w:type="dxa"/>
          <w:right w:w="28" w:type="dxa"/>
        </w:tblCellMar>
      </w:tblPr>
      <w:tblGrid>
        <w:gridCol w:w="2598"/>
        <w:gridCol w:w="2286"/>
        <w:gridCol w:w="2301"/>
        <w:gridCol w:w="211"/>
        <w:gridCol w:w="826"/>
        <w:gridCol w:w="109"/>
        <w:gridCol w:w="109"/>
        <w:gridCol w:w="109"/>
        <w:gridCol w:w="109"/>
        <w:gridCol w:w="211"/>
        <w:gridCol w:w="826"/>
        <w:gridCol w:w="154"/>
      </w:tblGrid>
      <w:tr>
        <w:trPr/>
        <w:tc>
          <w:tcPr>
            <w:tcW w:w="2598"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member tax distributions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in capitalized software development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obtained in exchange for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assets financed by 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member tax distributions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tbl>
      <w:tblPr>
        <w:tblW w:w="7141" w:type="dxa"/>
        <w:jc w:val="center"/>
        <w:tblInd w:w="0" w:type="dxa"/>
        <w:tblLayout w:type="fixed"/>
        <w:tblCellMar>
          <w:top w:w="28" w:type="dxa"/>
          <w:left w:w="28" w:type="dxa"/>
          <w:bottom w:w="28" w:type="dxa"/>
          <w:right w:w="28" w:type="dxa"/>
        </w:tblCellMar>
      </w:tblPr>
      <w:tblGrid>
        <w:gridCol w:w="277"/>
        <w:gridCol w:w="242"/>
        <w:gridCol w:w="246"/>
        <w:gridCol w:w="1933"/>
        <w:gridCol w:w="1933"/>
        <w:gridCol w:w="1939"/>
        <w:gridCol w:w="167"/>
        <w:gridCol w:w="167"/>
        <w:gridCol w:w="237"/>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34">
              <w:r>
                <w:rPr>
                  <w:rStyle w:val="InternetLink"/>
                  <w:rFonts w:ascii="Times New Roman;sans-serif" w:hAnsi="Times New Roman;sans-serif"/>
                  <w:b w:val="false"/>
                  <w:strike w:val="false"/>
                  <w:dstrike w:val="false"/>
                  <w:color w:val="000000"/>
                  <w:sz w:val="20"/>
                  <w:u w:val="none"/>
                  <w:effect w:val="none"/>
                </w:rPr>
                <w:t>Note 1</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34">
              <w:r>
                <w:rPr>
                  <w:rStyle w:val="InternetLink"/>
                  <w:rFonts w:ascii="Times New Roman;sans-serif" w:hAnsi="Times New Roman;sans-serif"/>
                  <w:b w:val="false"/>
                  <w:color w:val="0000FF"/>
                  <w:sz w:val="20"/>
                  <w:u w:val="single"/>
                </w:rPr>
                <w:t>Nature of Operations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71c2f272b8a142b38fb53197c0158e15_34">
              <w:r>
                <w:rPr>
                  <w:rStyle w:val="InternetLink"/>
                  <w:rFonts w:ascii="Times New Roman;sans-serif" w:hAnsi="Times New Roman;sans-serif"/>
                  <w:b w:val="false"/>
                  <w:strike w:val="false"/>
                  <w:dstrike w:val="false"/>
                  <w:color w:val="000000"/>
                  <w:sz w:val="20"/>
                  <w:u w:val="none"/>
                  <w:effect w:val="none"/>
                </w:rPr>
                <w:t>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37">
              <w:r>
                <w:rPr>
                  <w:rStyle w:val="InternetLink"/>
                  <w:rFonts w:ascii="Times New Roman;sans-serif" w:hAnsi="Times New Roman;sans-serif"/>
                  <w:b w:val="false"/>
                  <w:strike w:val="false"/>
                  <w:dstrike w:val="false"/>
                  <w:color w:val="000000"/>
                  <w:sz w:val="20"/>
                  <w:u w:val="none"/>
                  <w:effect w:val="none"/>
                </w:rPr>
                <w:t>Note 2</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37">
              <w:r>
                <w:rPr>
                  <w:rStyle w:val="InternetLink"/>
                  <w:rFonts w:ascii="Times New Roman;sans-serif" w:hAnsi="Times New Roman;sans-serif"/>
                  <w:b w:val="false"/>
                  <w:color w:val="0000FF"/>
                  <w:sz w:val="20"/>
                  <w:u w:val="single"/>
                </w:rPr>
                <w:t>Basis of Presentation and Summary of Significant Accounting Policies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37">
              <w:r>
                <w:rPr>
                  <w:rStyle w:val="InternetLink"/>
                  <w:rFonts w:ascii="Times New Roman;sans-serif" w:hAnsi="Times New Roman;sans-serif"/>
                  <w:b w:val="false"/>
                  <w:strike w:val="false"/>
                  <w:dstrike w:val="false"/>
                  <w:color w:val="000000"/>
                  <w:sz w:val="20"/>
                  <w:u w:val="none"/>
                  <w:effect w:val="none"/>
                </w:rPr>
                <w:t>10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40">
              <w:r>
                <w:rPr>
                  <w:rStyle w:val="InternetLink"/>
                  <w:rFonts w:ascii="Times New Roman;sans-serif" w:hAnsi="Times New Roman;sans-serif"/>
                  <w:b w:val="false"/>
                  <w:strike w:val="false"/>
                  <w:dstrike w:val="false"/>
                  <w:color w:val="000000"/>
                  <w:sz w:val="20"/>
                  <w:u w:val="none"/>
                  <w:effect w:val="none"/>
                </w:rPr>
                <w:t>Note 3</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40">
              <w:r>
                <w:rPr>
                  <w:rStyle w:val="InternetLink"/>
                  <w:rFonts w:ascii="Times New Roman;sans-serif" w:hAnsi="Times New Roman;sans-serif"/>
                  <w:b w:val="false"/>
                  <w:color w:val="0000FF"/>
                  <w:sz w:val="20"/>
                  <w:u w:val="single"/>
                </w:rPr>
                <w:t>Revenue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40">
              <w:r>
                <w:rPr>
                  <w:rStyle w:val="InternetLink"/>
                  <w:rFonts w:ascii="Times New Roman;sans-serif" w:hAnsi="Times New Roman;sans-serif"/>
                  <w:b w:val="false"/>
                  <w:strike w:val="false"/>
                  <w:dstrike w:val="false"/>
                  <w:color w:val="000000"/>
                  <w:sz w:val="20"/>
                  <w:u w:val="none"/>
                  <w:effect w:val="none"/>
                </w:rPr>
                <w:t>12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43">
              <w:r>
                <w:rPr>
                  <w:rStyle w:val="InternetLink"/>
                  <w:rFonts w:ascii="Times New Roman;sans-serif" w:hAnsi="Times New Roman;sans-serif"/>
                  <w:b w:val="false"/>
                  <w:strike w:val="false"/>
                  <w:dstrike w:val="false"/>
                  <w:color w:val="000000"/>
                  <w:sz w:val="20"/>
                  <w:u w:val="none"/>
                  <w:effect w:val="none"/>
                </w:rPr>
                <w:t>Note 4</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43">
              <w:r>
                <w:rPr>
                  <w:rStyle w:val="InternetLink"/>
                  <w:rFonts w:ascii="Times New Roman;sans-serif" w:hAnsi="Times New Roman;sans-serif"/>
                  <w:b w:val="false"/>
                  <w:color w:val="0000FF"/>
                  <w:sz w:val="20"/>
                  <w:u w:val="single"/>
                </w:rPr>
                <w:t>Property, Equipment, and Software, Net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43">
              <w:r>
                <w:rPr>
                  <w:rStyle w:val="InternetLink"/>
                  <w:rFonts w:ascii="Times New Roman;sans-serif" w:hAnsi="Times New Roman;sans-serif"/>
                  <w:b w:val="false"/>
                  <w:strike w:val="false"/>
                  <w:dstrike w:val="false"/>
                  <w:color w:val="000000"/>
                  <w:sz w:val="20"/>
                  <w:u w:val="none"/>
                  <w:effect w:val="none"/>
                </w:rPr>
                <w:t>13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46">
              <w:r>
                <w:rPr>
                  <w:rStyle w:val="InternetLink"/>
                  <w:rFonts w:ascii="Times New Roman;sans-serif" w:hAnsi="Times New Roman;sans-serif"/>
                  <w:b w:val="false"/>
                  <w:strike w:val="false"/>
                  <w:dstrike w:val="false"/>
                  <w:color w:val="000000"/>
                  <w:sz w:val="20"/>
                  <w:u w:val="none"/>
                  <w:effect w:val="none"/>
                </w:rPr>
                <w:t>Note 5</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46">
              <w:r>
                <w:rPr>
                  <w:rStyle w:val="InternetLink"/>
                  <w:rFonts w:ascii="Times New Roman;sans-serif" w:hAnsi="Times New Roman;sans-serif"/>
                  <w:b w:val="false"/>
                  <w:color w:val="0000FF"/>
                  <w:sz w:val="20"/>
                  <w:u w:val="single"/>
                </w:rPr>
                <w:t>Leases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46">
              <w:r>
                <w:rPr>
                  <w:rStyle w:val="InternetLink"/>
                  <w:rFonts w:ascii="Times New Roman;sans-serif" w:hAnsi="Times New Roman;sans-serif"/>
                  <w:b w:val="false"/>
                  <w:strike w:val="false"/>
                  <w:dstrike w:val="false"/>
                  <w:color w:val="000000"/>
                  <w:sz w:val="20"/>
                  <w:u w:val="none"/>
                  <w:effect w:val="none"/>
                </w:rPr>
                <w:t>13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49">
              <w:r>
                <w:rPr>
                  <w:rStyle w:val="InternetLink"/>
                  <w:rFonts w:ascii="Times New Roman;sans-serif" w:hAnsi="Times New Roman;sans-serif"/>
                  <w:b w:val="false"/>
                  <w:strike w:val="false"/>
                  <w:dstrike w:val="false"/>
                  <w:color w:val="000000"/>
                  <w:sz w:val="20"/>
                  <w:u w:val="none"/>
                  <w:effect w:val="none"/>
                </w:rPr>
                <w:t>Note 6</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49">
              <w:r>
                <w:rPr>
                  <w:rStyle w:val="InternetLink"/>
                  <w:rFonts w:ascii="Times New Roman;sans-serif" w:hAnsi="Times New Roman;sans-serif"/>
                  <w:b w:val="false"/>
                  <w:color w:val="0000FF"/>
                  <w:sz w:val="20"/>
                  <w:u w:val="single"/>
                </w:rPr>
                <w:t>Intangible Assets, Net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49">
              <w:r>
                <w:rPr>
                  <w:rStyle w:val="InternetLink"/>
                  <w:rFonts w:ascii="Times New Roman;sans-serif" w:hAnsi="Times New Roman;sans-serif"/>
                  <w:b w:val="false"/>
                  <w:strike w:val="false"/>
                  <w:dstrike w:val="false"/>
                  <w:color w:val="000000"/>
                  <w:sz w:val="20"/>
                  <w:u w:val="none"/>
                  <w:effect w:val="none"/>
                </w:rPr>
                <w:t>14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52">
              <w:r>
                <w:rPr>
                  <w:rStyle w:val="InternetLink"/>
                  <w:rFonts w:ascii="Times New Roman;sans-serif" w:hAnsi="Times New Roman;sans-serif"/>
                  <w:b w:val="false"/>
                  <w:strike w:val="false"/>
                  <w:dstrike w:val="false"/>
                  <w:color w:val="000000"/>
                  <w:sz w:val="20"/>
                  <w:u w:val="none"/>
                  <w:effect w:val="none"/>
                </w:rPr>
                <w:t>Note 7</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52">
              <w:r>
                <w:rPr>
                  <w:rStyle w:val="InternetLink"/>
                  <w:rFonts w:ascii="Times New Roman;sans-serif" w:hAnsi="Times New Roman;sans-serif"/>
                  <w:b w:val="false"/>
                  <w:color w:val="0000FF"/>
                  <w:sz w:val="20"/>
                  <w:u w:val="single"/>
                </w:rPr>
                <w:t>Accrued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52">
              <w:r>
                <w:rPr>
                  <w:rStyle w:val="InternetLink"/>
                  <w:rFonts w:ascii="Times New Roman;sans-serif" w:hAnsi="Times New Roman;sans-serif"/>
                  <w:b w:val="false"/>
                  <w:strike w:val="false"/>
                  <w:dstrike w:val="false"/>
                  <w:color w:val="000000"/>
                  <w:sz w:val="20"/>
                  <w:u w:val="none"/>
                  <w:effect w:val="none"/>
                </w:rPr>
                <w:t>15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58">
              <w:r>
                <w:rPr>
                  <w:rStyle w:val="InternetLink"/>
                  <w:rFonts w:ascii="Times New Roman;sans-serif" w:hAnsi="Times New Roman;sans-serif"/>
                  <w:b w:val="false"/>
                  <w:strike w:val="false"/>
                  <w:dstrike w:val="false"/>
                  <w:color w:val="000000"/>
                  <w:sz w:val="20"/>
                  <w:u w:val="none"/>
                  <w:effect w:val="none"/>
                </w:rPr>
                <w:t>Note 8</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58">
              <w:r>
                <w:rPr>
                  <w:rStyle w:val="InternetLink"/>
                  <w:rFonts w:ascii="Times New Roman;sans-serif" w:hAnsi="Times New Roman;sans-serif"/>
                  <w:b w:val="false"/>
                  <w:color w:val="0000FF"/>
                  <w:sz w:val="20"/>
                  <w:u w:val="single"/>
                </w:rPr>
                <w:t>Revolving Credit Facility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58">
              <w:r>
                <w:rPr>
                  <w:rStyle w:val="InternetLink"/>
                  <w:rFonts w:ascii="Times New Roman;sans-serif" w:hAnsi="Times New Roman;sans-serif"/>
                  <w:b w:val="false"/>
                  <w:strike w:val="false"/>
                  <w:dstrike w:val="false"/>
                  <w:color w:val="000000"/>
                  <w:sz w:val="20"/>
                  <w:u w:val="none"/>
                  <w:effect w:val="none"/>
                </w:rPr>
                <w:t>15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61">
              <w:r>
                <w:rPr>
                  <w:rStyle w:val="InternetLink"/>
                  <w:rFonts w:ascii="Times New Roman;sans-serif" w:hAnsi="Times New Roman;sans-serif"/>
                  <w:b w:val="false"/>
                  <w:strike w:val="false"/>
                  <w:dstrike w:val="false"/>
                  <w:color w:val="000000"/>
                  <w:sz w:val="20"/>
                  <w:u w:val="none"/>
                  <w:effect w:val="none"/>
                </w:rPr>
                <w:t>Note 9</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61">
              <w:r>
                <w:rPr>
                  <w:rStyle w:val="InternetLink"/>
                  <w:rFonts w:ascii="Times New Roman;sans-serif" w:hAnsi="Times New Roman;sans-serif"/>
                  <w:b w:val="false"/>
                  <w:color w:val="0000FF"/>
                  <w:sz w:val="20"/>
                  <w:u w:val="single"/>
                </w:rPr>
                <w:t>Stock-Based Compensation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61">
              <w:r>
                <w:rPr>
                  <w:rStyle w:val="InternetLink"/>
                  <w:rFonts w:ascii="Times New Roman;sans-serif" w:hAnsi="Times New Roman;sans-serif"/>
                  <w:b w:val="false"/>
                  <w:strike w:val="false"/>
                  <w:dstrike w:val="false"/>
                  <w:color w:val="000000"/>
                  <w:sz w:val="20"/>
                  <w:u w:val="none"/>
                  <w:effect w:val="none"/>
                </w:rPr>
                <w:t>16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64">
              <w:r>
                <w:rPr>
                  <w:rStyle w:val="InternetLink"/>
                  <w:rFonts w:ascii="Times New Roman;sans-serif" w:hAnsi="Times New Roman;sans-serif"/>
                  <w:b w:val="false"/>
                  <w:strike w:val="false"/>
                  <w:dstrike w:val="false"/>
                  <w:color w:val="000000"/>
                  <w:sz w:val="20"/>
                  <w:u w:val="none"/>
                  <w:effect w:val="none"/>
                </w:rPr>
                <w:t>Note 10</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64">
              <w:r>
                <w:rPr>
                  <w:rStyle w:val="InternetLink"/>
                  <w:rFonts w:ascii="Times New Roman;sans-serif" w:hAnsi="Times New Roman;sans-serif"/>
                  <w:b w:val="false"/>
                  <w:color w:val="0000FF"/>
                  <w:sz w:val="20"/>
                  <w:u w:val="single"/>
                </w:rPr>
                <w:t>Income Taxes and Tax Receivable Agreement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64">
              <w:r>
                <w:rPr>
                  <w:rStyle w:val="InternetLink"/>
                  <w:rFonts w:ascii="Times New Roman;sans-serif" w:hAnsi="Times New Roman;sans-serif"/>
                  <w:b w:val="false"/>
                  <w:strike w:val="false"/>
                  <w:dstrike w:val="false"/>
                  <w:color w:val="000000"/>
                  <w:sz w:val="20"/>
                  <w:u w:val="none"/>
                  <w:effect w:val="none"/>
                </w:rPr>
                <w:t>18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67">
              <w:r>
                <w:rPr>
                  <w:rStyle w:val="InternetLink"/>
                  <w:rFonts w:ascii="Times New Roman;sans-serif" w:hAnsi="Times New Roman;sans-serif"/>
                  <w:b w:val="false"/>
                  <w:strike w:val="false"/>
                  <w:dstrike w:val="false"/>
                  <w:color w:val="000000"/>
                  <w:sz w:val="20"/>
                  <w:u w:val="none"/>
                  <w:effect w:val="none"/>
                </w:rPr>
                <w:t>Note 11</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67">
              <w:r>
                <w:rPr>
                  <w:rStyle w:val="InternetLink"/>
                  <w:rFonts w:ascii="Times New Roman;sans-serif" w:hAnsi="Times New Roman;sans-serif"/>
                  <w:b w:val="false"/>
                  <w:color w:val="0000FF"/>
                  <w:sz w:val="20"/>
                  <w:u w:val="single"/>
                </w:rPr>
                <w:t>Loss Per Share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67">
              <w:r>
                <w:rPr>
                  <w:rStyle w:val="InternetLink"/>
                  <w:rFonts w:ascii="Times New Roman;sans-serif" w:hAnsi="Times New Roman;sans-serif"/>
                  <w:b w:val="false"/>
                  <w:strike w:val="false"/>
                  <w:dstrike w:val="false"/>
                  <w:color w:val="000000"/>
                  <w:sz w:val="20"/>
                  <w:u w:val="none"/>
                  <w:effect w:val="none"/>
                </w:rPr>
                <w:t>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70">
              <w:r>
                <w:rPr>
                  <w:rStyle w:val="InternetLink"/>
                  <w:rFonts w:ascii="Times New Roman;sans-serif" w:hAnsi="Times New Roman;sans-serif"/>
                  <w:b w:val="false"/>
                  <w:strike w:val="false"/>
                  <w:dstrike w:val="false"/>
                  <w:color w:val="000000"/>
                  <w:sz w:val="20"/>
                  <w:u w:val="none"/>
                  <w:effect w:val="none"/>
                </w:rPr>
                <w:t>Note 12</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70">
              <w:r>
                <w:rPr>
                  <w:rStyle w:val="InternetLink"/>
                  <w:rFonts w:ascii="Times New Roman;sans-serif" w:hAnsi="Times New Roman;sans-serif"/>
                  <w:b w:val="false"/>
                  <w:color w:val="0000FF"/>
                  <w:sz w:val="20"/>
                  <w:u w:val="single"/>
                </w:rPr>
                <w:t>Noncontrolling Interests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70">
              <w:r>
                <w:rPr>
                  <w:rStyle w:val="InternetLink"/>
                  <w:rFonts w:ascii="Times New Roman;sans-serif" w:hAnsi="Times New Roman;sans-serif"/>
                  <w:b w:val="false"/>
                  <w:strike w:val="false"/>
                  <w:dstrike w:val="false"/>
                  <w:color w:val="000000"/>
                  <w:sz w:val="20"/>
                  <w:u w:val="none"/>
                  <w:effect w:val="none"/>
                </w:rPr>
                <w:t>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73">
              <w:r>
                <w:rPr>
                  <w:rStyle w:val="InternetLink"/>
                  <w:rFonts w:ascii="Times New Roman;sans-serif" w:hAnsi="Times New Roman;sans-serif"/>
                  <w:b w:val="false"/>
                  <w:strike w:val="false"/>
                  <w:dstrike w:val="false"/>
                  <w:color w:val="000000"/>
                  <w:sz w:val="20"/>
                  <w:u w:val="none"/>
                  <w:effect w:val="none"/>
                </w:rPr>
                <w:t>Note 13</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c2f272b8a142b38fb53197c0158e15_73">
              <w:r>
                <w:rPr>
                  <w:rStyle w:val="InternetLink"/>
                  <w:rFonts w:ascii="Times New Roman;sans-serif" w:hAnsi="Times New Roman;sans-serif"/>
                  <w:b w:val="false"/>
                  <w:color w:val="0000FF"/>
                  <w:sz w:val="20"/>
                  <w:u w:val="single"/>
                </w:rPr>
                <w:t>Commitments and Contingencies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c2f272b8a142b38fb53197c0158e15_73">
              <w:r>
                <w:rPr>
                  <w:rStyle w:val="InternetLink"/>
                  <w:rFonts w:ascii="Times New Roman;sans-serif" w:hAnsi="Times New Roman;sans-serif"/>
                  <w:b w:val="false"/>
                  <w:strike w:val="false"/>
                  <w:dstrike w:val="false"/>
                  <w:color w:val="000000"/>
                  <w:sz w:val="20"/>
                  <w:u w:val="none"/>
                  <w:effect w:val="none"/>
                </w:rPr>
                <w:t>20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4"/>
        </w:rPr>
        <w:t xml:space="preserve">1. </w:t>
      </w:r>
      <w:r>
        <w:rPr>
          <w:rFonts w:ascii="Times New Roman;sans-serif" w:hAnsi="Times New Roman;sans-serif"/>
          <w:b/>
          <w:i/>
          <w:color w:val="000000"/>
          <w:sz w:val="24"/>
        </w:rPr>
        <w:t>Nature of Operations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Viant Technology Inc. (the “Company,” “we,” “us,” “our” or “Viant”) was incorporated in the State of Delaware on October 9, 2020</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231F20"/>
          <w:sz w:val="20"/>
        </w:rPr>
        <w:t>The Company operates a demand side platform ("DSP") used by marketers and their advertising agencies to centralize the planning, buying and measurement of their advertising across most channels, including desktop, mobile, connected TV, linear TV, in-game, streaming audio and digital billboards.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On February 9, 2021, the Securities and Exchange Commission (“SEC”) declared effective the Company’s Form S-1 related to the initial public offering (“IPO”) of its Class A common stock. The closing date of the IPO was February 12, 2021, and in connection with the closing and the corporate reorganization (the “Reorganization Transactions”), the following actions were taken: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The Company amended and restated its certificate of incorporation, under which the Company is authorized to issue up to 450,000,000 shares of Class A common stock, up to 150,000,000 shares of Class B common stock, and up to 10,000,000 shares of preferred stock;</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shd w:fill="FFFFFF" w:val="clear"/>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Viant Technology LLC Agreement classified the interests acquired by the Company as Class A units, reclassified the interests held by the continuing members of Viant Technology LLC as Class B units, and permits the continuing members of Viant Technology LLC to exchange Class B units for shares of Class A common stock of Viant Technology Inc. on a one-for-one basis or, at the election of Viant Technology Inc., for cash at the current fair value on the date of the exchange. Immediately following such reclassification, the continuing members held 48,935,559 Class B units.</w:t>
      </w:r>
      <w:r>
        <w:rPr>
          <w:color w:val="000000"/>
          <w:shd w:fill="FFFFFF" w:val="clear"/>
        </w:rPr>
        <w:t xml:space="preserve"> </w:t>
      </w:r>
      <w:r>
        <w:rPr>
          <w:rFonts w:ascii="Times New Roman;sans-serif" w:hAnsi="Times New Roman;sans-serif"/>
          <w:b w:val="false"/>
          <w:color w:val="000000"/>
          <w:sz w:val="20"/>
          <w:shd w:fill="FFFFFF" w:val="clear"/>
        </w:rPr>
        <w:t>For each membership unit of Viant Technology LLC that was reclassified as a Class B unit, the Company issued one corresponding share of our Class B common stock to the continuing members, or 48,935,559 shares of Class B common stock in total;</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shd w:fill="FFFFFF" w:val="clear"/>
        </w:rPr>
        <w:t>The Company issued and sold 10,000,000 shares of its Class A common stock to the underwriters at an IPO price of $25.00 per share, for gross proceeds of $250.0 million before deducting underwriting discounts and commissions of $17.5 million;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Company used the net proceeds of $232.5 million </w:t>
      </w:r>
      <w:r>
        <w:rPr>
          <w:rFonts w:ascii="Times New Roman;sans-serif" w:hAnsi="Times New Roman;sans-serif"/>
          <w:b w:val="false"/>
          <w:color w:val="000000"/>
          <w:sz w:val="20"/>
          <w:shd w:fill="FFFFFF" w:val="clear"/>
        </w:rPr>
        <w:t>to acquire 10,000,000 newly issued Class A units of Viant Technology LLC at a per-unit price equal to the per-share price paid by the underwriters for shares of our Class A common stock;</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underwriters exercised their option to purchase 1,500,000 additional shares of Class A common stock from the selling stockholders in the IPO. The Company did not receive any proceeds from the sale of shares by the selling stockholders. Pursuant to such exercise, the selling stockholders exchanged the corresponding number of Class B units for the shares of Class A common stock, the corresponding number of shares of Class B common stock were automatically retired, and 1,500,000 Class A units were issued to the Company;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Class B stockholders and Class A stockholders initially had 80.5% and 19.5%, respectively, of the combined voting power of the Company’s common stock. The Class A common stock outstanding represents 100%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The Company entered into a Registration Rights Agreement with the Class B stockholders to provide for certain rights and restrictions after the IPO;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Viant Technology LLC’s 2020 Equity Based Incentive Compensation Plan (the “Phantom Unit Plan”) was terminated and replaced with the Company’s 2021 Long Term Incentive Plan (the “LTIP”).</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Immediately following the closing of the IPO, Viant Technology LLC became the predecessor of the Company for financial reporting purposes. Viant Technology Inc.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condensed consolidated financial statements of the Company recognize the assets and liabilities received in the Reorganization Transactions at their historical carrying amounts, as reflected in the historical consolidated financial statements of Viant Technology LLC. The Company consolidates Viant Technology LLC in its condensed consolidated financial statements and records a noncontrolling interest related to the Class B units held by the Class B stockholders on its condensed consolidated balance sheets and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4"/>
        </w:rPr>
        <w:t xml:space="preserve">2. </w:t>
      </w:r>
      <w:r>
        <w:rPr>
          <w:rFonts w:ascii="Times New Roman;sans-serif" w:hAnsi="Times New Roman;sans-serif"/>
          <w:b/>
          <w:i/>
          <w:color w:val="000000"/>
          <w:sz w:val="24"/>
        </w:rPr>
        <w:t>Basis of Presentation and Summary of 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The</w:t>
      </w:r>
      <w:r>
        <w:rPr>
          <w:color w:val="000000"/>
        </w:rPr>
        <w:t xml:space="preserve"> </w:t>
      </w:r>
      <w:r>
        <w:rPr>
          <w:rFonts w:ascii="Times New Roman;sans-serif" w:hAnsi="Times New Roman;sans-serif"/>
          <w:b w:val="false"/>
          <w:color w:val="000000"/>
          <w:sz w:val="20"/>
        </w:rPr>
        <w:t xml:space="preserve">accompanying unaudited condensed consolidated financial statements are prepared in accordance with accounting principles generally accepted in the United States of America (“GAAP”) for interim financial information which are unaudited and include the operations of the Company, Viant Technology LLC and its wholly owned subsidiaries. Viant Technology LLC is considered a variable interest entity. The Company is the primary beneficiary and sole managing member of Viant Technology LLC and has decision-making authority that significantly affects the economic performance of the entity. As a result, the Company consolidates Viant Technology LLC. All intercompany balances and transactions have been eliminated in consolidation. </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Management</w:t>
      </w:r>
      <w:r>
        <w:rPr>
          <w:color w:val="000000"/>
        </w:rPr>
        <w:t xml:space="preserve"> </w:t>
      </w:r>
      <w:r>
        <w:rPr>
          <w:rFonts w:ascii="Times New Roman;sans-serif" w:hAnsi="Times New Roman;sans-serif"/>
          <w:b w:val="false"/>
          <w:color w:val="000000"/>
          <w:sz w:val="20"/>
        </w:rPr>
        <w:t>believes that the accompanying condensed consolidated financial statements reflect the adjustments necessary for the fair statement of its condensed consolidated balance sheets, statements of operations, and cash flows included in this report. The condensed consolidated balance sheet as of December 31, 2022 was derived from the audited annual financial statements but does not contain all of the footnote disclosures from the annual financial statements. Certain information and disclosures normally included in the Company's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statements of operations for the three and nine months ended September 30, 2023 are not necessarily indicative of the results to be expected for the year ending December 31, 2023 (“fiscal 2023”), or for any other future annual or interim period.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significant accounting policies as described in the Company's Annual Report on Form 10-K for the year ended December 31,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Times New Roman;sans-serif" w:hAnsi="Times New Roman;sans-serif"/>
          <w:b w:val="false"/>
          <w:color w:val="000000"/>
          <w:sz w:val="20"/>
        </w:rPr>
        <w:t>On an ongoing basis, management evaluates its estimates, primarily those related to revenue recognition, stock-based compensation, income taxes, 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of widespread macroeconomic and geopolitical uncertainties, including the impact of pandemics, bank failures, labor shortages, inflation and monetary supply shifts, rising interest rates, tightening of credit markets, recession risks, and potential disruptions from international conflicts and acts of terrorism on our business continues to evolve. Many of our estimates and assumptions consider these macroeconomic and geopolitical factors in the market, which require increased judgment and carry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net loss is equal to comprehensive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September 30, 2023, cash equivalents included money market funds of $185.5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Net of Allowances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allowance for doubtful accounts for the three and nine months ended September 30, 2023:</w:t>
      </w:r>
    </w:p>
    <w:tbl>
      <w:tblPr>
        <w:tblW w:w="4905" w:type="dxa"/>
        <w:jc w:val="center"/>
        <w:tblInd w:w="0" w:type="dxa"/>
        <w:tblLayout w:type="fixed"/>
        <w:tblCellMar>
          <w:top w:w="28" w:type="dxa"/>
          <w:left w:w="28" w:type="dxa"/>
          <w:bottom w:w="28" w:type="dxa"/>
          <w:right w:w="28" w:type="dxa"/>
        </w:tblCellMar>
      </w:tblPr>
      <w:tblGrid>
        <w:gridCol w:w="1315"/>
        <w:gridCol w:w="1154"/>
        <w:gridCol w:w="1161"/>
        <w:gridCol w:w="274"/>
        <w:gridCol w:w="801"/>
        <w:gridCol w:w="200"/>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impact of accounting adoption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Concentration of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risk consist principally of cash and accounts receivable. The Company maintains its cash with financial institutions and its cash levels exceed the Federal Deposit Insurance Corporation’s federally insured limits. Accounts receivable include amounts due from customers with principal operations primarily in the United States.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two individual customers accounted for 13.3% and 13.0% of consolidated accounts receivable. As of December 31, 2022, no individual customers accounted for 10.0% or greater of consolidated accounts receivable.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two individual suppliers accounted for 13.5% and 12.9% of consolidated accounts payable and accrued liabilities. As of December 31, 2022, one supplier accounted for 24.6% of consolidated accounts payable and accrued liabilities.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there was one advertising agency holding company that accounted for 11.5% of the Company's total revenue. For the nine months ended September 30, 2023, there were no advertising agency holding companies that accounted for 10.0% or more of the Company’s total revenue. For the three and nine months ended September 30, 2022, one advertising agency holding company accounted for 20.3% and 13.9% of the Company's total revenue, respectively.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there was one individual customer that accounted for 20.3% and 15.2% of the Company’s total revenue, respectively. For the three and nine months ended September 30, 2022, there were no individual customers that accounted for 10.0% or more of the Company’s total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JOBS Act Election as an Emerging Growth Company</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sans-serif" w:hAnsi="Times New Roman;sans-serif"/>
          <w:b w:val="false"/>
          <w:color w:val="231F20"/>
          <w:sz w:val="20"/>
        </w:rPr>
        <w:t>Company</w:t>
      </w:r>
      <w:r>
        <w:rPr>
          <w:color w:val="000000"/>
        </w:rPr>
        <w:t xml:space="preserve"> </w:t>
      </w:r>
      <w:r>
        <w:rPr>
          <w:rFonts w:ascii="Times New Roman;sans-serif" w:hAnsi="Times New Roman;sans-serif"/>
          <w:b w:val="false"/>
          <w:color w:val="000000"/>
          <w:sz w:val="20"/>
        </w:rPr>
        <w:t>may, under Section 7(a)(2)(B) of the Securities Act, delay adoption of new or revised accounting standards applicable to public companies until such standards would otherwise apply to private companies. An “emerging growth company” is one with less than $1.235 billion in annual gross revenues, has issued less than $1 billion of non-convertible debt over a three-year period and is not deemed to be a large accelerated filer under the rules of the SEC. The Company may take advantage of this extended transition period until the first to occur of the date that it (i) is no longer an “emerging growth company” or (ii) affirmatively and irrevocably opts out of this extended transition period.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Instruments—Credit Losses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In June 2016, the Financial Accounting Standards Board issued Accounting Standards Update ("ASU") No. 2016-13,</w:t>
      </w:r>
      <w:r>
        <w:rPr>
          <w:color w:val="000000"/>
        </w:rPr>
        <w:t xml:space="preserve"> </w:t>
      </w:r>
      <w:r>
        <w:rPr>
          <w:rFonts w:ascii="Times New Roman;sans-serif" w:hAnsi="Times New Roman;sans-serif"/>
          <w:b w:val="false"/>
          <w:i/>
          <w:color w:val="000000"/>
          <w:sz w:val="20"/>
        </w:rPr>
        <w:t>Financial Instruments—Credit Losses (Topic 326)</w:t>
      </w:r>
      <w:r>
        <w:rPr>
          <w:rFonts w:ascii="Times New Roman;sans-serif" w:hAnsi="Times New Roman;sans-serif"/>
          <w:b w:val="false"/>
          <w:color w:val="000000"/>
          <w:sz w:val="20"/>
        </w:rPr>
        <w:t xml:space="preserve">. ASU 2016-13 revises the impairment model to utilize an expected loss methodology in place of the currently used incurred loss methodology, which results in more timely recognition of losses on financial instruments. We adopted this standard at the beginning of fiscal 2023. As a result, we revised the impairment model to utilize an expected loss methodology in place of an incurred loss methodology related to our allowance for credit losses on our trade accounts receivable. We evaluate our allowance for credit losses based on historical bad debt experience, our assessment of the financial condition of companies with which we do business, current macroeconomic conditions and reasonable and supportable forecasts of future macroeconomic conditions. The adoption did not have a material impact on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231F20"/>
          <w:sz w:val="24"/>
        </w:rPr>
        <w:t xml:space="preserve">3. </w:t>
      </w:r>
      <w:r>
        <w:rPr>
          <w:rFonts w:ascii="Times New Roman;sans-serif" w:hAnsi="Times New Roman;sans-serif"/>
          <w:b/>
          <w:i/>
          <w:color w:val="231F20"/>
          <w:sz w:val="24"/>
        </w:rPr>
        <w:t>Revenue</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The disaggregation of revenue was as follows:</w:t>
      </w:r>
    </w:p>
    <w:tbl>
      <w:tblPr>
        <w:tblW w:w="7290" w:type="dxa"/>
        <w:jc w:val="center"/>
        <w:tblInd w:w="0" w:type="dxa"/>
        <w:tblLayout w:type="fixed"/>
        <w:tblCellMar>
          <w:top w:w="28" w:type="dxa"/>
          <w:left w:w="28" w:type="dxa"/>
          <w:bottom w:w="28" w:type="dxa"/>
          <w:right w:w="28" w:type="dxa"/>
        </w:tblCellMar>
      </w:tblPr>
      <w:tblGrid>
        <w:gridCol w:w="684"/>
        <w:gridCol w:w="601"/>
        <w:gridCol w:w="60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Over-time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Point-in-time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Revenue for unsatisfied performance obligations expected to be recognized in the future for contracts with an original expected duration of greater than one year was $0.1 million as of September 30, 2023 and $0.1 million as of December 31, 2022. These amounts do not include contracts with an original expected duration of less than one year, which is the majority of the Company’s contracts.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Remaining deferred revenue that is anticipated to be recognized during the succeeding twelve month period is recorded in the current portion of </w:t>
      </w:r>
      <w:r>
        <w:rPr>
          <w:rFonts w:ascii="Times New Roman;sans-serif" w:hAnsi="Times New Roman;sans-serif"/>
          <w:b w:val="false"/>
          <w:color w:val="000000"/>
          <w:sz w:val="20"/>
        </w:rPr>
        <w:t>deferred</w:t>
      </w:r>
      <w:r>
        <w:rPr>
          <w:color w:val="231F20"/>
        </w:rPr>
        <w:t xml:space="preserve"> </w:t>
      </w:r>
      <w:r>
        <w:rPr>
          <w:rFonts w:ascii="Times New Roman;sans-serif" w:hAnsi="Times New Roman;sans-serif"/>
          <w:b w:val="false"/>
          <w:color w:val="231F20"/>
          <w:sz w:val="20"/>
        </w:rPr>
        <w:t>revenue within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360" w:after="283"/>
        <w:jc w:val="left"/>
        <w:rPr/>
      </w:pPr>
      <w:r>
        <w:rPr>
          <w:rFonts w:ascii="Times New Roman;sans-serif" w:hAnsi="Times New Roman;sans-serif"/>
          <w:b/>
          <w:color w:val="231F20"/>
          <w:sz w:val="24"/>
        </w:rPr>
        <w:t xml:space="preserve">4. </w:t>
      </w:r>
      <w:r>
        <w:rPr>
          <w:rFonts w:ascii="Times New Roman;sans-serif" w:hAnsi="Times New Roman;sans-serif"/>
          <w:b/>
          <w:i/>
          <w:color w:val="231F20"/>
          <w:sz w:val="24"/>
        </w:rPr>
        <w:t>Property, Equipment, and Software, Net</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Major </w:t>
      </w:r>
      <w:r>
        <w:rPr>
          <w:rFonts w:ascii="Times New Roman;sans-serif" w:hAnsi="Times New Roman;sans-serif"/>
          <w:b w:val="false"/>
          <w:color w:val="000000"/>
          <w:sz w:val="20"/>
        </w:rPr>
        <w:t>classes</w:t>
      </w:r>
      <w:r>
        <w:rPr>
          <w:color w:val="231F20"/>
        </w:rPr>
        <w:t xml:space="preserve"> </w:t>
      </w:r>
      <w:r>
        <w:rPr>
          <w:rFonts w:ascii="Times New Roman;sans-serif" w:hAnsi="Times New Roman;sans-serif"/>
          <w:b w:val="false"/>
          <w:color w:val="231F20"/>
          <w:sz w:val="20"/>
        </w:rPr>
        <w:t>of property, equipment, and software were as follows:</w:t>
      </w:r>
    </w:p>
    <w:tbl>
      <w:tblPr>
        <w:tblW w:w="7105" w:type="dxa"/>
        <w:jc w:val="center"/>
        <w:tblInd w:w="0" w:type="dxa"/>
        <w:tblLayout w:type="fixed"/>
        <w:tblCellMar>
          <w:top w:w="28" w:type="dxa"/>
          <w:left w:w="28" w:type="dxa"/>
          <w:bottom w:w="28" w:type="dxa"/>
          <w:right w:w="28" w:type="dxa"/>
        </w:tblCellMar>
      </w:tblPr>
      <w:tblGrid>
        <w:gridCol w:w="1343"/>
        <w:gridCol w:w="1177"/>
        <w:gridCol w:w="1184"/>
        <w:gridCol w:w="264"/>
        <w:gridCol w:w="904"/>
        <w:gridCol w:w="136"/>
        <w:gridCol w:w="109"/>
        <w:gridCol w:w="109"/>
        <w:gridCol w:w="109"/>
        <w:gridCol w:w="344"/>
        <w:gridCol w:w="1175"/>
        <w:gridCol w:w="251"/>
      </w:tblGrid>
      <w:tr>
        <w:trPr/>
        <w:tc>
          <w:tcPr>
            <w:tcW w:w="134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net</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Depreciation recorded in the condensed consolidated statements of operations was as follows:</w:t>
      </w:r>
    </w:p>
    <w:tbl>
      <w:tblPr>
        <w:tblW w:w="7439" w:type="dxa"/>
        <w:jc w:val="center"/>
        <w:tblInd w:w="0" w:type="dxa"/>
        <w:tblLayout w:type="fixed"/>
        <w:tblCellMar>
          <w:top w:w="28" w:type="dxa"/>
          <w:left w:w="28" w:type="dxa"/>
          <w:bottom w:w="28" w:type="dxa"/>
          <w:right w:w="28" w:type="dxa"/>
        </w:tblCellMar>
      </w:tblPr>
      <w:tblGrid>
        <w:gridCol w:w="927"/>
        <w:gridCol w:w="817"/>
        <w:gridCol w:w="820"/>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4"/>
        </w:rPr>
        <w:t xml:space="preserve">5. </w:t>
      </w:r>
      <w:r>
        <w:rPr>
          <w:rFonts w:ascii="Times New Roman;sans-serif" w:hAnsi="Times New Roman;sans-serif"/>
          <w:b/>
          <w:i/>
          <w:color w:val="000000"/>
          <w:sz w:val="24"/>
        </w:rPr>
        <w:t>Leases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Arrangements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operating leases for our office space, which have remaining lease terms of up to eight years. We do not have finance 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operating leases had a weighted-average remaining lease term of approximately seven years and a weighted-average incremental borrowing rate of 3.5%.</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operating lease liabilities was $1.3 million and $3.5 million for the three and nine months ended September 30, 2023, respectively, and $0.3 million and $1.5 million for the three and nine months ended September 30, 2022, respectively.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lease expense were as follows (in thousands): </w:t>
      </w:r>
    </w:p>
    <w:tbl>
      <w:tblPr>
        <w:tblW w:w="6569" w:type="dxa"/>
        <w:jc w:val="center"/>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a remaining contractual obligation of $2.7 million related to a short-term lease to be paid over the following four years. The effective term of this lease is based on the cumulative days available for use throughout the contractual term, which is less than one year. The cost for this lease is included in our disclosure of short-term lease cost. This lease and other of our short-term leases are not recorded on the Company's condensed consolidated balance sheet due to our accounting policy election for short-term 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as of September 30, 2023 were as follows:</w:t>
      </w:r>
    </w:p>
    <w:tbl>
      <w:tblPr>
        <w:tblW w:w="4858" w:type="dxa"/>
        <w:jc w:val="center"/>
        <w:tblInd w:w="0" w:type="dxa"/>
        <w:tblLayout w:type="fixed"/>
        <w:tblCellMar>
          <w:top w:w="28" w:type="dxa"/>
          <w:left w:w="28" w:type="dxa"/>
          <w:bottom w:w="28" w:type="dxa"/>
          <w:right w:w="28" w:type="dxa"/>
        </w:tblCellMar>
      </w:tblPr>
      <w:tblGrid>
        <w:gridCol w:w="1270"/>
        <w:gridCol w:w="1113"/>
        <w:gridCol w:w="1126"/>
        <w:gridCol w:w="262"/>
        <w:gridCol w:w="896"/>
        <w:gridCol w:w="191"/>
      </w:tblGrid>
      <w:tr>
        <w:trPr/>
        <w:tc>
          <w:tcPr>
            <w:tcW w:w="127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September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future lease payments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current</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231F20"/>
          <w:sz w:val="24"/>
        </w:rPr>
        <w:t xml:space="preserve">6. </w:t>
      </w:r>
      <w:r>
        <w:rPr>
          <w:rFonts w:ascii="Times New Roman;sans-serif" w:hAnsi="Times New Roman;sans-serif"/>
          <w:b/>
          <w:i/>
          <w:color w:val="231F20"/>
          <w:sz w:val="24"/>
        </w:rPr>
        <w:t>Intangible Assets,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balances of intangible assets and accumulated amortization are as follows: </w:t>
      </w:r>
    </w:p>
    <w:tbl>
      <w:tblPr>
        <w:tblW w:w="10205" w:type="dxa"/>
        <w:jc w:val="center"/>
        <w:tblInd w:w="0" w:type="dxa"/>
        <w:tblLayout w:type="fixed"/>
        <w:tblCellMar>
          <w:top w:w="28" w:type="dxa"/>
          <w:left w:w="28" w:type="dxa"/>
          <w:bottom w:w="28" w:type="dxa"/>
          <w:right w:w="28" w:type="dxa"/>
        </w:tblCellMar>
      </w:tblPr>
      <w:tblGrid>
        <w:gridCol w:w="698"/>
        <w:gridCol w:w="594"/>
        <w:gridCol w:w="598"/>
        <w:gridCol w:w="992"/>
        <w:gridCol w:w="992"/>
        <w:gridCol w:w="993"/>
        <w:gridCol w:w="109"/>
        <w:gridCol w:w="109"/>
        <w:gridCol w:w="109"/>
        <w:gridCol w:w="282"/>
        <w:gridCol w:w="826"/>
        <w:gridCol w:w="145"/>
        <w:gridCol w:w="109"/>
        <w:gridCol w:w="109"/>
        <w:gridCol w:w="109"/>
        <w:gridCol w:w="283"/>
        <w:gridCol w:w="850"/>
        <w:gridCol w:w="148"/>
        <w:gridCol w:w="109"/>
        <w:gridCol w:w="109"/>
        <w:gridCol w:w="109"/>
        <w:gridCol w:w="461"/>
        <w:gridCol w:w="1018"/>
        <w:gridCol w:w="344"/>
      </w:tblGrid>
      <w:tr>
        <w:trPr/>
        <w:tc>
          <w:tcPr>
            <w:tcW w:w="69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Remaining Weighted-Average Useful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Trademarks/tradenames</w:t>
            </w:r>
          </w:p>
        </w:tc>
        <w:tc>
          <w:tcPr>
            <w:tcW w:w="2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center"/>
        <w:rPr/>
      </w:pPr>
      <w:r>
        <w:rPr/>
      </w:r>
    </w:p>
    <w:tbl>
      <w:tblPr>
        <w:tblW w:w="10205" w:type="dxa"/>
        <w:jc w:val="center"/>
        <w:tblInd w:w="0" w:type="dxa"/>
        <w:tblLayout w:type="fixed"/>
        <w:tblCellMar>
          <w:top w:w="28" w:type="dxa"/>
          <w:left w:w="28" w:type="dxa"/>
          <w:bottom w:w="28" w:type="dxa"/>
          <w:right w:w="28" w:type="dxa"/>
        </w:tblCellMar>
      </w:tblPr>
      <w:tblGrid>
        <w:gridCol w:w="702"/>
        <w:gridCol w:w="599"/>
        <w:gridCol w:w="603"/>
        <w:gridCol w:w="979"/>
        <w:gridCol w:w="979"/>
        <w:gridCol w:w="982"/>
        <w:gridCol w:w="109"/>
        <w:gridCol w:w="109"/>
        <w:gridCol w:w="109"/>
        <w:gridCol w:w="283"/>
        <w:gridCol w:w="830"/>
        <w:gridCol w:w="146"/>
        <w:gridCol w:w="109"/>
        <w:gridCol w:w="109"/>
        <w:gridCol w:w="109"/>
        <w:gridCol w:w="283"/>
        <w:gridCol w:w="850"/>
        <w:gridCol w:w="148"/>
        <w:gridCol w:w="109"/>
        <w:gridCol w:w="109"/>
        <w:gridCol w:w="109"/>
        <w:gridCol w:w="465"/>
        <w:gridCol w:w="1027"/>
        <w:gridCol w:w="348"/>
      </w:tblGrid>
      <w:tr>
        <w:trPr/>
        <w:tc>
          <w:tcPr>
            <w:tcW w:w="70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Remaining Weighted- Average Useful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Trademarks/tradenames</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assets recorded in the condensed consolidated statements of operations was as follows: </w:t>
      </w:r>
    </w:p>
    <w:tbl>
      <w:tblPr>
        <w:tblW w:w="6734" w:type="dxa"/>
        <w:jc w:val="center"/>
        <w:tblInd w:w="0" w:type="dxa"/>
        <w:tblLayout w:type="fixed"/>
        <w:tblCellMar>
          <w:top w:w="28" w:type="dxa"/>
          <w:left w:w="28" w:type="dxa"/>
          <w:bottom w:w="28" w:type="dxa"/>
          <w:right w:w="28" w:type="dxa"/>
        </w:tblCellMar>
      </w:tblPr>
      <w:tblGrid>
        <w:gridCol w:w="927"/>
        <w:gridCol w:w="817"/>
        <w:gridCol w:w="820"/>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33"/>
        <w:jc w:val="left"/>
        <w:rPr/>
      </w:pPr>
      <w:r>
        <w:rPr>
          <w:rFonts w:ascii="Times New Roman;sans-serif" w:hAnsi="Times New Roman;sans-serif"/>
          <w:b w:val="false"/>
          <w:color w:val="231F20"/>
          <w:sz w:val="20"/>
        </w:rPr>
        <w:t xml:space="preserve">Estimated future </w:t>
      </w:r>
      <w:r>
        <w:rPr>
          <w:rFonts w:ascii="Times New Roman;sans-serif" w:hAnsi="Times New Roman;sans-serif"/>
          <w:b w:val="false"/>
          <w:color w:val="000000"/>
          <w:sz w:val="20"/>
        </w:rPr>
        <w:t>amortization</w:t>
      </w:r>
      <w:r>
        <w:rPr>
          <w:color w:val="231F20"/>
        </w:rPr>
        <w:t xml:space="preserve"> </w:t>
      </w:r>
      <w:r>
        <w:rPr>
          <w:rFonts w:ascii="Times New Roman;sans-serif" w:hAnsi="Times New Roman;sans-serif"/>
          <w:b w:val="false"/>
          <w:color w:val="231F20"/>
          <w:sz w:val="20"/>
        </w:rPr>
        <w:t>of intangible assets is as follows:</w:t>
      </w:r>
    </w:p>
    <w:tbl>
      <w:tblPr>
        <w:tblW w:w="3494" w:type="dxa"/>
        <w:jc w:val="center"/>
        <w:tblInd w:w="0" w:type="dxa"/>
        <w:tblLayout w:type="fixed"/>
        <w:tblCellMar>
          <w:top w:w="28" w:type="dxa"/>
          <w:left w:w="28" w:type="dxa"/>
          <w:bottom w:w="28" w:type="dxa"/>
          <w:right w:w="28" w:type="dxa"/>
        </w:tblCellMar>
      </w:tblPr>
      <w:tblGrid>
        <w:gridCol w:w="608"/>
        <w:gridCol w:w="533"/>
        <w:gridCol w:w="539"/>
        <w:gridCol w:w="459"/>
        <w:gridCol w:w="1017"/>
        <w:gridCol w:w="338"/>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231F20"/>
          <w:sz w:val="24"/>
        </w:rPr>
        <w:t xml:space="preserve">7. </w:t>
      </w:r>
      <w:r>
        <w:rPr>
          <w:rFonts w:ascii="Times New Roman;sans-serif" w:hAnsi="Times New Roman;sans-serif"/>
          <w:b/>
          <w:i/>
          <w:color w:val="231F20"/>
          <w:sz w:val="24"/>
        </w:rPr>
        <w:t>Accrued Liabilities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The Company’s accrued liabilities consisted of the following:</w:t>
      </w:r>
      <w:r>
        <w:rPr>
          <w:color w:val="000000"/>
        </w:rPr>
        <w:t xml:space="preserve"> </w:t>
      </w:r>
    </w:p>
    <w:tbl>
      <w:tblPr>
        <w:tblW w:w="6175" w:type="dxa"/>
        <w:jc w:val="center"/>
        <w:tblInd w:w="0" w:type="dxa"/>
        <w:tblLayout w:type="fixed"/>
        <w:tblCellMar>
          <w:top w:w="28" w:type="dxa"/>
          <w:left w:w="28" w:type="dxa"/>
          <w:bottom w:w="28" w:type="dxa"/>
          <w:right w:w="28" w:type="dxa"/>
        </w:tblCellMar>
      </w:tblPr>
      <w:tblGrid>
        <w:gridCol w:w="988"/>
        <w:gridCol w:w="869"/>
        <w:gridCol w:w="872"/>
        <w:gridCol w:w="273"/>
        <w:gridCol w:w="935"/>
        <w:gridCol w:w="141"/>
        <w:gridCol w:w="109"/>
        <w:gridCol w:w="109"/>
        <w:gridCol w:w="109"/>
        <w:gridCol w:w="344"/>
        <w:gridCol w:w="1175"/>
        <w:gridCol w:w="251"/>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 xml:space="preserve">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traffic acquisition costs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 balance of $0.2 million as of September 30, 2023 and $0.2 million as of December 31, 2022, payable to related parties for expenses they incurred on our behalf, which was recorded within accrued liabilities on the condensed consolidated balance sheets. The related expense incurred by the Company was $0.2 million and $0.5 million for the three and nine months ended September 30, 2023, respectively, and $0.3 million and $0.8 million for the three and nine months ended September 30,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231F20"/>
          <w:sz w:val="24"/>
        </w:rPr>
        <w:t xml:space="preserve">8. </w:t>
      </w:r>
      <w:r>
        <w:rPr>
          <w:rFonts w:ascii="Times New Roman;sans-serif" w:hAnsi="Times New Roman;sans-serif"/>
          <w:b/>
          <w:i/>
          <w:color w:val="231F20"/>
          <w:sz w:val="24"/>
        </w:rPr>
        <w:t>Revolving Credit Facility</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On October 31, 2019, we entere</w:t>
      </w:r>
      <w:r>
        <w:rPr>
          <w:rFonts w:ascii="Times New Roman;sans-serif" w:hAnsi="Times New Roman;sans-serif"/>
          <w:b w:val="false"/>
          <w:color w:val="000000"/>
          <w:sz w:val="20"/>
        </w:rPr>
        <w:t xml:space="preserve">d into an asset-based revolving credit and security agreement (the "Loan Agreement") with PNC Bank, National Association (“PNC Bank”) that originally provided a senior secured revolving credit facility with borrowing capacity of up to $40.0 million and a maturity date of October 31, 2024. On April 4, 2023, we entered into an amendment to the Loan Agreement (as so amended, the "Amended Loan Agreement") that increased the borrowing capacity under the revolving credit facility to $75.0 million, extended the maturity date to April 4, 2028, and changed the rates at which advances will bear interest. </w:t>
      </w:r>
      <w:r>
        <w:rPr>
          <w:rFonts w:ascii="Times New Roman;sans-serif" w:hAnsi="Times New Roman;sans-serif"/>
          <w:b w:val="false"/>
          <w:color w:val="231F20"/>
          <w:sz w:val="20"/>
        </w:rPr>
        <w:t>The Amended Loan Agreement is collateralized by security interests in substantially all of our assets.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Advances under the Amended Loan Agreement bear interest through maturity at a variable rate based upon our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defined in the Amended Loan Agreement) plus the SOFR Adjustment of 0.10% plus an applicable margin. The Company did not have an outstanding balance during the nine months ended September 30, 2023. The applicable margin is between 1.00% to 1.25% for Domestic Rate Loans and between 2.00% and 2.25% for Term SOFR Rate Loans based on the average undrawn availability under the revolving credit facility. The applicable margin as of September 30, 2023 was equal to 1.00% for Domestic Rate Loans and 2.00% for Term SOFR Rate Loans. The facility fee for undrawn amounts under the Amended Loan Agreement is 0.375% per annum. We will be required to pay customary letter of credit fees, as necessary.</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The Amended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w:t>
      </w:r>
      <w:r>
        <w:rPr>
          <w:rFonts w:ascii="Times New Roman;sans-serif" w:hAnsi="Times New Roman;sans-serif"/>
          <w:b w:val="false"/>
          <w:color w:val="000000"/>
          <w:sz w:val="20"/>
        </w:rPr>
        <w:t>The Amended Loan Agreement also requires that we maintain compliance with a minimum Fixed Charge Coverage Ratio (as defined in the Amended Loan Agreement) of 1.40 to 1.00 at any time undrawn availability is less than 25%.</w:t>
      </w:r>
      <w:r>
        <w:rPr>
          <w:color w:val="231F20"/>
        </w:rPr>
        <w:t xml:space="preserve"> </w:t>
      </w:r>
      <w:r>
        <w:rPr>
          <w:rFonts w:ascii="Times New Roman;sans-serif" w:hAnsi="Times New Roman;sans-serif"/>
          <w:b w:val="false"/>
          <w:color w:val="231F20"/>
          <w:sz w:val="20"/>
        </w:rPr>
        <w:t>As of September 30, 2023, we were in compliance with all covenants as part of the Amended Loan Agreement.</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Prior to the Amended Loan Agreement, advances under the Loan Agreement bore interest through maturity at a variable rate based upon our selection of either a Domestic Rate Loan or a LIBOR Rate Loan. For Domestic Rate Loans, borrowings bore interest at the Alternate Base Rate plus an applicable margin. The Alternate Base Rate was defined as a fluctuating interest rate equal to the greater of (1) the base commercial lending rate of PNC Bank, (2) the overnight federal funds rate plus 0.50% and (3) the Daily LIBOR Rate plus 1.00%. For LIBOR Rate Loans, borrowings bore interest at the LIBOR Rate (as defined in the Loan Agreement) plus an applicable margin. The applicable margin was between 0.75% to 1.25% for Domestic Rate Loans and between 1.75% and 2.25% for LIBOR Rate Loans based on maintaining certain undrawn availability ratios. The facility fee for undrawn amounts under the Loan Agreement was 0.375% per annum.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231F20"/>
          <w:sz w:val="24"/>
        </w:rPr>
        <w:t xml:space="preserve">9. </w:t>
      </w:r>
      <w:r>
        <w:rPr>
          <w:rFonts w:ascii="Times New Roman;sans-serif" w:hAnsi="Times New Roman;sans-serif"/>
          <w:b/>
          <w:i/>
          <w:color w:val="231F20"/>
          <w:sz w:val="24"/>
        </w:rPr>
        <w:t>Stock-Based Compensation</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In connection with the IPO, which occurred on February 12, 2021, the Phantom Unit Plan was replaced by the LTIP. On February 12, 2021, 6.2 million restricted stock units (“RSUs”) were granted under the LTIP. The Company is authorized to grant RSUs, incentive stock options, nonqualified stock options, stock appreciation rights, restricted stock awards, and performance stock awards under its LTIP. As of </w:t>
      </w:r>
      <w:r>
        <w:rPr>
          <w:rFonts w:ascii="Times New Roman;sans-serif" w:hAnsi="Times New Roman;sans-serif"/>
          <w:b w:val="false"/>
          <w:color w:val="000000"/>
          <w:sz w:val="20"/>
        </w:rPr>
        <w:t>September 30, 2023</w:t>
      </w:r>
      <w:r>
        <w:rPr>
          <w:rFonts w:ascii="Times New Roman;sans-serif" w:hAnsi="Times New Roman;sans-serif"/>
          <w:b w:val="false"/>
          <w:color w:val="231F20"/>
          <w:sz w:val="20"/>
        </w:rPr>
        <w:t xml:space="preserve">, the Company had only granted RSUs and nonqualified stock options under the LTIP. Under the LTIP, 4.5 million shares of Class A common stock remained available for grant as of </w:t>
      </w:r>
      <w:r>
        <w:rPr>
          <w:rFonts w:ascii="Times New Roman;sans-serif" w:hAnsi="Times New Roman;sans-serif"/>
          <w:b w:val="false"/>
          <w:color w:val="000000"/>
          <w:sz w:val="20"/>
        </w:rPr>
        <w:t>September 30, 2023</w:t>
      </w:r>
      <w:r>
        <w:rPr>
          <w:rFonts w:ascii="Times New Roman;sans-serif" w:hAnsi="Times New Roman;sans-serif"/>
          <w:b w:val="false"/>
          <w:color w:val="231F20"/>
          <w:sz w:val="20"/>
        </w:rPr>
        <w:t>.</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Stock-based compensation recorded in the condensed consolidated statements of operations was as follows:</w:t>
      </w:r>
    </w:p>
    <w:tbl>
      <w:tblPr>
        <w:tblW w:w="7544" w:type="dxa"/>
        <w:jc w:val="center"/>
        <w:tblInd w:w="0" w:type="dxa"/>
        <w:tblLayout w:type="fixed"/>
        <w:tblCellMar>
          <w:top w:w="28" w:type="dxa"/>
          <w:left w:w="28" w:type="dxa"/>
          <w:bottom w:w="28" w:type="dxa"/>
          <w:right w:w="28" w:type="dxa"/>
        </w:tblCellMar>
      </w:tblPr>
      <w:tblGrid>
        <w:gridCol w:w="927"/>
        <w:gridCol w:w="817"/>
        <w:gridCol w:w="820"/>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RSUs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The following summarizes RSU activity:</w:t>
      </w:r>
      <w:r>
        <w:rPr>
          <w:color w:val="000000"/>
        </w:rPr>
        <w:t xml:space="preserve"> </w:t>
      </w:r>
    </w:p>
    <w:tbl>
      <w:tblPr>
        <w:tblW w:w="7674" w:type="dxa"/>
        <w:jc w:val="center"/>
        <w:tblInd w:w="0" w:type="dxa"/>
        <w:tblLayout w:type="fixed"/>
        <w:tblCellMar>
          <w:top w:w="28" w:type="dxa"/>
          <w:left w:w="28" w:type="dxa"/>
          <w:bottom w:w="28" w:type="dxa"/>
          <w:right w:w="28" w:type="dxa"/>
        </w:tblCellMar>
      </w:tblPr>
      <w:tblGrid>
        <w:gridCol w:w="1331"/>
        <w:gridCol w:w="1170"/>
        <w:gridCol w:w="1173"/>
        <w:gridCol w:w="539"/>
        <w:gridCol w:w="539"/>
        <w:gridCol w:w="541"/>
        <w:gridCol w:w="109"/>
        <w:gridCol w:w="109"/>
        <w:gridCol w:w="109"/>
        <w:gridCol w:w="441"/>
        <w:gridCol w:w="1290"/>
        <w:gridCol w:w="323"/>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Grant Date Fair Value</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 as of December 31, 2022</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 as of March 31, 2023</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 as of June 30, 2023</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 as of September 30, 2023</w:t>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unrecognized stock-based compensation relating to RSUs of approximately $23.0 million, which is expected to be recognized over a weighted-average period of 2.0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Nonqualified Stock Options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nonqualified stock option activity:</w:t>
      </w:r>
    </w:p>
    <w:tbl>
      <w:tblPr>
        <w:tblW w:w="10205" w:type="dxa"/>
        <w:jc w:val="center"/>
        <w:tblInd w:w="0" w:type="dxa"/>
        <w:tblLayout w:type="fixed"/>
        <w:tblCellMar>
          <w:top w:w="28" w:type="dxa"/>
          <w:left w:w="28" w:type="dxa"/>
          <w:bottom w:w="28" w:type="dxa"/>
          <w:right w:w="28" w:type="dxa"/>
        </w:tblCellMar>
      </w:tblPr>
      <w:tblGrid>
        <w:gridCol w:w="813"/>
        <w:gridCol w:w="713"/>
        <w:gridCol w:w="717"/>
        <w:gridCol w:w="451"/>
        <w:gridCol w:w="451"/>
        <w:gridCol w:w="452"/>
        <w:gridCol w:w="109"/>
        <w:gridCol w:w="109"/>
        <w:gridCol w:w="109"/>
        <w:gridCol w:w="430"/>
        <w:gridCol w:w="1042"/>
        <w:gridCol w:w="224"/>
        <w:gridCol w:w="109"/>
        <w:gridCol w:w="109"/>
        <w:gridCol w:w="109"/>
        <w:gridCol w:w="730"/>
        <w:gridCol w:w="730"/>
        <w:gridCol w:w="732"/>
        <w:gridCol w:w="109"/>
        <w:gridCol w:w="109"/>
        <w:gridCol w:w="109"/>
        <w:gridCol w:w="473"/>
        <w:gridCol w:w="912"/>
        <w:gridCol w:w="354"/>
      </w:tblGrid>
      <w:tr>
        <w:trPr/>
        <w:tc>
          <w:tcPr>
            <w:tcW w:w="8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br/>
              <w:t xml:space="preserve">(in thousands)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Remaining Contractual 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br/>
              <w:t>(in thousands)</w:t>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2023</w:t>
            </w:r>
          </w:p>
        </w:tc>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2023</w:t>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of the nonqualified stock options granted during the three and nine months ended September 30, 2023 was $3.18 and $2.99, respectively. The Company had unrecognized stock-based compensation relating to unvested nonqualified stock options of approximately $12.8 million, which is expected to be recognized over a weighted-average period of 2.0 years, as of September 30, 2023.</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the assumptions used in the Black-Scholes model to determine the fair value of nonqualified stock options for the three and nine months ended September 30, 2023 and 2022.</w:t>
      </w:r>
    </w:p>
    <w:tbl>
      <w:tblPr>
        <w:tblW w:w="6138" w:type="dxa"/>
        <w:jc w:val="center"/>
        <w:tblInd w:w="0" w:type="dxa"/>
        <w:tblLayout w:type="fixed"/>
        <w:tblCellMar>
          <w:top w:w="28" w:type="dxa"/>
          <w:left w:w="28" w:type="dxa"/>
          <w:bottom w:w="28" w:type="dxa"/>
          <w:right w:w="28" w:type="dxa"/>
        </w:tblCellMar>
      </w:tblPr>
      <w:tblGrid>
        <w:gridCol w:w="771"/>
        <w:gridCol w:w="676"/>
        <w:gridCol w:w="682"/>
        <w:gridCol w:w="435"/>
        <w:gridCol w:w="435"/>
        <w:gridCol w:w="435"/>
        <w:gridCol w:w="418"/>
        <w:gridCol w:w="418"/>
        <w:gridCol w:w="418"/>
        <w:gridCol w:w="418"/>
        <w:gridCol w:w="418"/>
        <w:gridCol w:w="614"/>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and Nine Months Ended September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 - 4.3%</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 - 2.0%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75.8% - 81.5%</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61.5% - 62.7%</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6.0 - 6.1</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5.9 - 6.0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bl>
    <w:p>
      <w:pPr>
        <w:pStyle w:val="TextBody"/>
        <w:bidi w:val="0"/>
        <w:spacing w:lineRule="auto" w:line="288" w:before="120" w:after="283"/>
        <w:ind w:left="0" w:right="0" w:firstLine="540"/>
        <w:jc w:val="left"/>
        <w:rPr/>
      </w:pPr>
      <w:r>
        <w:rPr>
          <w:rFonts w:ascii="Times New Roman;sans-serif" w:hAnsi="Times New Roman;sans-serif"/>
          <w:b w:val="false"/>
          <w:i/>
          <w:color w:val="231F20"/>
          <w:sz w:val="20"/>
        </w:rPr>
        <w:t>Risk-Free Interest Rate.</w:t>
      </w:r>
      <w:r>
        <w:rPr>
          <w:color w:val="231F20"/>
        </w:rPr>
        <w:t xml:space="preserve"> </w:t>
      </w:r>
      <w:r>
        <w:rPr>
          <w:rFonts w:ascii="Times New Roman;sans-serif" w:hAnsi="Times New Roman;sans-serif"/>
          <w:b w:val="false"/>
          <w:color w:val="231F20"/>
          <w:sz w:val="20"/>
        </w:rPr>
        <w:t>The Company bases the risk-free interest rate assumption for equity awards on the rates for U.S. Treasury securities with maturities similar to those of the expected term of the award being valued.</w:t>
      </w:r>
    </w:p>
    <w:p>
      <w:pPr>
        <w:pStyle w:val="TextBody"/>
        <w:bidi w:val="0"/>
        <w:spacing w:lineRule="auto" w:line="288" w:before="120" w:after="283"/>
        <w:ind w:left="0" w:right="0" w:firstLine="540"/>
        <w:jc w:val="left"/>
        <w:rPr/>
      </w:pPr>
      <w:r>
        <w:rPr>
          <w:rFonts w:ascii="Times New Roman;sans-serif" w:hAnsi="Times New Roman;sans-serif"/>
          <w:b w:val="false"/>
          <w:i/>
          <w:color w:val="231F20"/>
          <w:sz w:val="20"/>
        </w:rPr>
        <w:t>Expected Volatility.</w:t>
      </w:r>
      <w:r>
        <w:rPr>
          <w:color w:val="231F20"/>
        </w:rPr>
        <w:t xml:space="preserve"> </w:t>
      </w:r>
      <w:r>
        <w:rPr>
          <w:rFonts w:ascii="Times New Roman;sans-serif" w:hAnsi="Times New Roman;sans-serif"/>
          <w:b w:val="false"/>
          <w:color w:val="231F20"/>
          <w:sz w:val="20"/>
        </w:rPr>
        <w:t>Due to the limited trading history of the Company’s Class A common stock, the expected volatility assumption is based on volatilities of a peer group of similar companies whose share prices are publicly available. The Company will continue to apply this process until a sufficient amount of historical information regarding the volatility of the Company’s own stock price becomes available.</w:t>
      </w:r>
    </w:p>
    <w:p>
      <w:pPr>
        <w:pStyle w:val="TextBody"/>
        <w:bidi w:val="0"/>
        <w:spacing w:lineRule="auto" w:line="288" w:before="120" w:after="283"/>
        <w:ind w:left="0" w:right="0" w:firstLine="540"/>
        <w:jc w:val="left"/>
        <w:rPr/>
      </w:pPr>
      <w:r>
        <w:rPr>
          <w:rFonts w:ascii="Times New Roman;sans-serif" w:hAnsi="Times New Roman;sans-serif"/>
          <w:b w:val="false"/>
          <w:i/>
          <w:color w:val="231F20"/>
          <w:sz w:val="20"/>
        </w:rPr>
        <w:t>Expected Term.</w:t>
      </w:r>
      <w:r>
        <w:rPr>
          <w:color w:val="231F20"/>
        </w:rPr>
        <w:t xml:space="preserve"> </w:t>
      </w:r>
      <w:r>
        <w:rPr>
          <w:rFonts w:ascii="Times New Roman;sans-serif" w:hAnsi="Times New Roman;sans-serif"/>
          <w:b w:val="false"/>
          <w:color w:val="231F20"/>
          <w:sz w:val="20"/>
        </w:rPr>
        <w:t>Given the insufficient historical data relating to nonqualified stock option exercises, the expected term assumption is primarily based on expected terms of a peer group of similar companies whose expected terms are publicly available. The Company will continue to apply this process until a sufficient amount of historical information regarding the Company’s nonqualified stock option exercises becomes available.</w:t>
      </w:r>
    </w:p>
    <w:p>
      <w:pPr>
        <w:pStyle w:val="TextBody"/>
        <w:bidi w:val="0"/>
        <w:spacing w:lineRule="auto" w:line="288" w:before="120" w:after="283"/>
        <w:ind w:left="0" w:right="0" w:firstLine="540"/>
        <w:jc w:val="left"/>
        <w:rPr/>
      </w:pPr>
      <w:r>
        <w:rPr>
          <w:rFonts w:ascii="Times New Roman;sans-serif" w:hAnsi="Times New Roman;sans-serif"/>
          <w:b w:val="false"/>
          <w:i/>
          <w:color w:val="231F20"/>
          <w:sz w:val="20"/>
        </w:rPr>
        <w:t>Expected Dividend Yield.</w:t>
      </w:r>
      <w:r>
        <w:rPr>
          <w:color w:val="231F20"/>
        </w:rPr>
        <w:t xml:space="preserve"> </w:t>
      </w:r>
      <w:r>
        <w:rPr>
          <w:rFonts w:ascii="Times New Roman;sans-serif" w:hAnsi="Times New Roman;sans-serif"/>
          <w:b w:val="false"/>
          <w:color w:val="231F20"/>
          <w:sz w:val="20"/>
        </w:rPr>
        <w:t>The Company’s expected dividend yield assumption is zero as it has never paid dividends and has no present intention to do so in the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Issuance of Shares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vesting of shares under the LTIP, the Company will issue treasury stock. If treasury stock is not available, Class A common stock will be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231F20"/>
          <w:sz w:val="24"/>
        </w:rPr>
        <w:t xml:space="preserve">10. </w:t>
      </w:r>
      <w:r>
        <w:rPr>
          <w:rFonts w:ascii="Times New Roman;sans-serif" w:hAnsi="Times New Roman;sans-serif"/>
          <w:b/>
          <w:i/>
          <w:color w:val="231F20"/>
          <w:sz w:val="24"/>
        </w:rPr>
        <w:t>Income Taxes and Tax Receivable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in the current and prior-year periods. The Company recognized an income tax expense of $0.2 million due to current federal and state taxes payable, resulting in an effective tax rate of (36.9)% and (1.4)% for the three and nine months ended September 30, 2023, respectively. The Company did not recognize an income tax expense or benefit for the three and nine months ended September 30, 2022, which resulted in an effective tax rate of 0.0%.</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management determined based on applicable accounting standards and the weight of all available evidence, it was not more likely than not (“MLTN”) that the Company will generate sufficient taxable income to realize its deferred tax assets including the difference in tax basis in excess of the financial reporting value for its investment in Viant Technology LLC. Consequently, the Company has established a full valuation allowance against its deferred tax assets as of September 30, 2023. In the event that management subsequently determines that it is MLTN that the Company will realize its deferred tax assets in the future over the recorded amount, a decrease to the valuation allowance will be made, which will reduce the provision for income taxes.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concluded based on applicable accounting standards and the weight of all available evidence, that it was MLTN that its deferred tax assets subject to the Tax Receivable Agreement ("TRA") entered into with Viant Technology LLC, continuing members of Viant Technology LLC and the TRA Representative (as defined in the TRA) on February 9, 2021 would not be realized as of September 30, 2023. Therefore, the Company has not recorded a liability related to the remaining tax savings it may realize from utilization of such deferred tax assets after concluding it was not probable that such TRA liability would be paid based on its estimates of future taxable income. As of September 30, 2023, the total unrecorded TRA liability is approximately $10.3 million. If utilization of the deferred tax assets subject to the TRA becomes MLTN in the future, the Company will record a liability related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 to the extent probable at that time, which will be recognized as an expense within its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4"/>
        </w:rPr>
        <w:t>1</w:t>
      </w:r>
      <w:r>
        <w:rPr>
          <w:rFonts w:ascii="Times New Roman;sans-serif" w:hAnsi="Times New Roman;sans-serif"/>
          <w:b/>
          <w:color w:val="231F20"/>
          <w:sz w:val="24"/>
        </w:rPr>
        <w:t xml:space="preserve">1. </w:t>
      </w:r>
      <w:r>
        <w:rPr>
          <w:rFonts w:ascii="Times New Roman;sans-serif" w:hAnsi="Times New Roman;sans-serif"/>
          <w:b/>
          <w:i/>
          <w:color w:val="231F20"/>
          <w:sz w:val="24"/>
        </w:rPr>
        <w:t>Loss Per Share</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 and nine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September 30, 2023</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2022</w:t>
      </w:r>
      <w:r>
        <w:rPr>
          <w:rFonts w:ascii="Times New Roman;sans-serif" w:hAnsi="Times New Roman;sans-serif"/>
          <w:b w:val="false"/>
          <w:color w:val="231F20"/>
          <w:sz w:val="20"/>
        </w:rPr>
        <w:t xml:space="preserve">, basic net loss per share has been calculated by dividing net loss attributable to Class A common stockholders by the weighted-average number of shares of Class A common stock outstanding for the same period. </w:t>
      </w:r>
      <w:r>
        <w:rPr>
          <w:rFonts w:ascii="Times New Roman;sans-serif" w:hAnsi="Times New Roman;sans-serif"/>
          <w:b w:val="false"/>
          <w:color w:val="000000"/>
          <w:sz w:val="20"/>
        </w:rPr>
        <w:t>Shares</w:t>
      </w:r>
      <w:r>
        <w:rPr>
          <w:color w:val="231F20"/>
        </w:rPr>
        <w:t xml:space="preserve"> </w:t>
      </w:r>
      <w:r>
        <w:rPr>
          <w:rFonts w:ascii="Times New Roman;sans-serif" w:hAnsi="Times New Roman;sans-serif"/>
          <w:b w:val="false"/>
          <w:color w:val="231F20"/>
          <w:sz w:val="20"/>
        </w:rPr>
        <w:t>of Class A common stock are weighted for the portion of the period in which the shares were outstanding. Diluted net loss per share has been calculated in a manner consistent with that of basic net loss per share while considering all potentially dilutive shares of Class A common stock outstanding during the period.</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The </w:t>
      </w:r>
      <w:r>
        <w:rPr>
          <w:rFonts w:ascii="Times New Roman;sans-serif" w:hAnsi="Times New Roman;sans-serif"/>
          <w:b w:val="false"/>
          <w:color w:val="000000"/>
          <w:sz w:val="20"/>
        </w:rPr>
        <w:t>following</w:t>
      </w:r>
      <w:r>
        <w:rPr>
          <w:color w:val="231F20"/>
        </w:rPr>
        <w:t xml:space="preserve"> </w:t>
      </w:r>
      <w:r>
        <w:rPr>
          <w:rFonts w:ascii="Times New Roman;sans-serif" w:hAnsi="Times New Roman;sans-serif"/>
          <w:b w:val="false"/>
          <w:color w:val="231F20"/>
          <w:sz w:val="20"/>
        </w:rPr>
        <w:t xml:space="preserve">table presents the calculation of basic and diluted net loss per share for the </w:t>
      </w:r>
      <w:r>
        <w:rPr>
          <w:rFonts w:ascii="Times New Roman;sans-serif" w:hAnsi="Times New Roman;sans-serif"/>
          <w:b w:val="false"/>
          <w:color w:val="000000"/>
          <w:sz w:val="20"/>
        </w:rPr>
        <w:t>three and nine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September 30, 2023</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2022</w:t>
      </w:r>
      <w:r>
        <w:rPr>
          <w:rFonts w:ascii="Times New Roman;sans-serif" w:hAnsi="Times New Roman;sans-serif"/>
          <w:b w:val="false"/>
          <w:color w:val="231F20"/>
          <w:sz w:val="20"/>
        </w:rPr>
        <w:t>:</w:t>
      </w:r>
    </w:p>
    <w:tbl>
      <w:tblPr>
        <w:tblW w:w="10205" w:type="dxa"/>
        <w:jc w:val="center"/>
        <w:tblInd w:w="0" w:type="dxa"/>
        <w:tblLayout w:type="fixed"/>
        <w:tblCellMar>
          <w:top w:w="28" w:type="dxa"/>
          <w:left w:w="28" w:type="dxa"/>
          <w:bottom w:w="28" w:type="dxa"/>
          <w:right w:w="28" w:type="dxa"/>
        </w:tblCellMar>
      </w:tblPr>
      <w:tblGrid>
        <w:gridCol w:w="1875"/>
        <w:gridCol w:w="1561"/>
        <w:gridCol w:w="1576"/>
        <w:gridCol w:w="211"/>
        <w:gridCol w:w="563"/>
        <w:gridCol w:w="109"/>
        <w:gridCol w:w="109"/>
        <w:gridCol w:w="109"/>
        <w:gridCol w:w="109"/>
        <w:gridCol w:w="211"/>
        <w:gridCol w:w="773"/>
        <w:gridCol w:w="109"/>
        <w:gridCol w:w="109"/>
        <w:gridCol w:w="109"/>
        <w:gridCol w:w="109"/>
        <w:gridCol w:w="211"/>
        <w:gridCol w:w="773"/>
        <w:gridCol w:w="109"/>
        <w:gridCol w:w="109"/>
        <w:gridCol w:w="109"/>
        <w:gridCol w:w="109"/>
        <w:gridCol w:w="211"/>
        <w:gridCol w:w="773"/>
        <w:gridCol w:w="159"/>
      </w:tblGrid>
      <w:tr>
        <w:trPr/>
        <w:tc>
          <w:tcPr>
            <w:tcW w:w="187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outstanding—basic and diluted</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w:t>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loss per share of Class A common stock—diluted:</w:t>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w:t>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w:t>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w:t>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loss per share of Class A common stock—diluted</w:t>
            </w:r>
          </w:p>
        </w:tc>
        <w:tc>
          <w:tcPr>
            <w:tcW w:w="8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231F20"/>
          <w:sz w:val="24"/>
        </w:rPr>
        <w:t xml:space="preserve">12. </w:t>
      </w:r>
      <w:r>
        <w:rPr>
          <w:rFonts w:ascii="Times New Roman;sans-serif" w:hAnsi="Times New Roman;sans-serif"/>
          <w:b/>
          <w:i/>
          <w:color w:val="231F20"/>
          <w:sz w:val="24"/>
        </w:rPr>
        <w:t>Noncontrolling Interests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w:t>
      </w:r>
      <w:r>
        <w:rPr>
          <w:rFonts w:ascii="Times New Roman;sans-serif" w:hAnsi="Times New Roman;sans-serif"/>
          <w:b w:val="false"/>
          <w:color w:val="000000"/>
          <w:sz w:val="20"/>
        </w:rPr>
        <w:t xml:space="preserve">The Viant 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Times New Roman;sans-serif" w:hAnsi="Times New Roman;sans-serif"/>
          <w:b w:val="false"/>
          <w:color w:val="231F20"/>
          <w:sz w:val="20"/>
        </w:rPr>
        <w:t>Changes in 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following table summarizes the ownership of Viant Technology LLC:</w:t>
      </w:r>
      <w:r>
        <w:rPr>
          <w:color w:val="000000"/>
        </w:rPr>
        <w:t xml:space="preserve"> </w:t>
      </w:r>
    </w:p>
    <w:tbl>
      <w:tblPr>
        <w:tblW w:w="10172" w:type="dxa"/>
        <w:jc w:val="center"/>
        <w:tblInd w:w="0" w:type="dxa"/>
        <w:tblLayout w:type="fixed"/>
        <w:tblCellMar>
          <w:top w:w="28" w:type="dxa"/>
          <w:left w:w="28" w:type="dxa"/>
          <w:bottom w:w="28" w:type="dxa"/>
          <w:right w:w="28" w:type="dxa"/>
        </w:tblCellMar>
      </w:tblPr>
      <w:tblGrid>
        <w:gridCol w:w="758"/>
        <w:gridCol w:w="667"/>
        <w:gridCol w:w="674"/>
        <w:gridCol w:w="389"/>
        <w:gridCol w:w="389"/>
        <w:gridCol w:w="391"/>
        <w:gridCol w:w="213"/>
        <w:gridCol w:w="213"/>
        <w:gridCol w:w="213"/>
        <w:gridCol w:w="457"/>
        <w:gridCol w:w="457"/>
        <w:gridCol w:w="1140"/>
        <w:gridCol w:w="109"/>
        <w:gridCol w:w="109"/>
        <w:gridCol w:w="109"/>
        <w:gridCol w:w="389"/>
        <w:gridCol w:w="389"/>
        <w:gridCol w:w="391"/>
        <w:gridCol w:w="205"/>
        <w:gridCol w:w="205"/>
        <w:gridCol w:w="205"/>
        <w:gridCol w:w="427"/>
        <w:gridCol w:w="427"/>
        <w:gridCol w:w="1246"/>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Owner</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 Owned</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Ownership 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 Owned</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Ownership Percentage </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Inc.</w:t>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15,541,093</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14,643,798</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47,082,260</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47,082,260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62,623,353</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61,726,058</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There were no exchanges of Class B units of Viant Technology LLC for shares of the Company’s Class A common stock during the </w:t>
      </w:r>
      <w:r>
        <w:rPr>
          <w:rFonts w:ascii="Times New Roman;sans-serif" w:hAnsi="Times New Roman;sans-serif"/>
          <w:b w:val="false"/>
          <w:color w:val="000000"/>
          <w:sz w:val="20"/>
        </w:rPr>
        <w:t>three and nine</w:t>
      </w:r>
      <w:r>
        <w:rPr>
          <w:color w:val="231F20"/>
        </w:rPr>
        <w:t xml:space="preserve"> </w:t>
      </w:r>
      <w:r>
        <w:rPr>
          <w:rFonts w:ascii="Times New Roman;sans-serif" w:hAnsi="Times New Roman;sans-serif"/>
          <w:b w:val="false"/>
          <w:color w:val="231F20"/>
          <w:sz w:val="20"/>
        </w:rPr>
        <w:t>months ended September 30,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changes in the Company’s ownership interest in Viant Technology LLC on the Company’s equity for the periods indicated:</w:t>
      </w:r>
    </w:p>
    <w:tbl>
      <w:tblPr>
        <w:tblW w:w="10205" w:type="dxa"/>
        <w:jc w:val="center"/>
        <w:tblInd w:w="0" w:type="dxa"/>
        <w:tblLayout w:type="fixed"/>
        <w:tblCellMar>
          <w:top w:w="28" w:type="dxa"/>
          <w:left w:w="28" w:type="dxa"/>
          <w:bottom w:w="28" w:type="dxa"/>
          <w:right w:w="28" w:type="dxa"/>
        </w:tblCellMar>
      </w:tblPr>
      <w:tblGrid>
        <w:gridCol w:w="2264"/>
        <w:gridCol w:w="1518"/>
        <w:gridCol w:w="1444"/>
        <w:gridCol w:w="211"/>
        <w:gridCol w:w="502"/>
        <w:gridCol w:w="109"/>
        <w:gridCol w:w="109"/>
        <w:gridCol w:w="109"/>
        <w:gridCol w:w="109"/>
        <w:gridCol w:w="211"/>
        <w:gridCol w:w="652"/>
        <w:gridCol w:w="109"/>
        <w:gridCol w:w="109"/>
        <w:gridCol w:w="109"/>
        <w:gridCol w:w="109"/>
        <w:gridCol w:w="211"/>
        <w:gridCol w:w="757"/>
        <w:gridCol w:w="109"/>
        <w:gridCol w:w="109"/>
        <w:gridCol w:w="109"/>
        <w:gridCol w:w="109"/>
        <w:gridCol w:w="211"/>
        <w:gridCol w:w="757"/>
        <w:gridCol w:w="159"/>
      </w:tblGrid>
      <w:tr>
        <w:trPr/>
        <w:tc>
          <w:tcPr>
            <w:tcW w:w="226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 noncontrolling interests:</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the additional-paid-in-capital of Viant Technology Inc. resulting from ownership changes in Viant Technology LLC</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loss attributable to Viant Technology Inc. and transfers to noncontrolling interests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(24,834)</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4"/>
        </w:rPr>
        <w:t xml:space="preserve">13. </w:t>
      </w:r>
      <w:r>
        <w:rPr>
          <w:rFonts w:ascii="Times New Roman;sans-serif" w:hAnsi="Times New Roman;sans-serif"/>
          <w:b/>
          <w:i/>
          <w:color w:val="000000"/>
          <w:sz w:val="24"/>
        </w:rPr>
        <w:t>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Lease Commitments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non-cancelable operating lease commitments for office space that have been recorded as operating lease liabilities. Refer to Note 5—Leases for additional information regarding lease commitments.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Hosting Commitments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had non-cancelable contractual agreements primarily related to the hosting of our data storage processing, storage and other computing services. As of September 30, 2023, we estimate these obligations to be approximately $3.1 million for the remainder of 2023, $7.0 million in 2024, $5.7 million in 2025, and $1.3 million in 2026.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Guarantees and Indemnities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left"/>
        <w:rPr/>
      </w:pPr>
      <w:r>
        <w:rPr>
          <w:rFonts w:ascii="Times New Roman;sans-serif" w:hAnsi="Times New Roman;sans-serif"/>
          <w:b w:val="false"/>
          <w:i/>
          <w:color w:val="231F20"/>
          <w:sz w:val="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w:t>
      </w:r>
      <w:r>
        <w:rPr>
          <w:rFonts w:ascii="Times New Roman;sans-serif" w:hAnsi="Times New Roman;sans-serif"/>
          <w:b w:val="false"/>
          <w:i/>
          <w:color w:val="000000"/>
          <w:sz w:val="20"/>
        </w:rPr>
        <w:t>terly Report on Form 10-Q (</w:t>
      </w:r>
      <w:r>
        <w:rPr>
          <w:color w:val="231F20"/>
        </w:rPr>
        <w:t>“</w:t>
      </w:r>
      <w:r>
        <w:rPr>
          <w:rFonts w:ascii="Times New Roman;sans-serif" w:hAnsi="Times New Roman;sans-serif"/>
          <w:b w:val="false"/>
          <w:i/>
          <w:color w:val="000000"/>
          <w:sz w:val="20"/>
        </w:rPr>
        <w:t>Quarterly Report</w:t>
      </w:r>
      <w:r>
        <w:rPr>
          <w:color w:val="231F20"/>
        </w:rPr>
        <w:t>”</w:t>
      </w:r>
      <w:r>
        <w:rPr>
          <w:rFonts w:ascii="Times New Roman;sans-serif" w:hAnsi="Times New Roman;sans-serif"/>
          <w:b w:val="false"/>
          <w:i/>
          <w:color w:val="000000"/>
          <w:sz w:val="20"/>
        </w:rPr>
        <w:t xml:space="preserve">) and our audited consolidated financial statements and notes thereto and the related Management’s Discussion and Analysis of Financial Condition and Results of Operations included in our Annual Report on Form 10-K for the year ended December 31, 2022, which was filed with the Securities and Exchange Commission (“SEC”) on March 2, 2023.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the risks and uncertainties discussed under the heading </w:t>
      </w:r>
      <w:r>
        <w:rPr>
          <w:color w:val="000000"/>
        </w:rPr>
        <w:t>“</w:t>
      </w:r>
      <w:r>
        <w:rPr>
          <w:rFonts w:ascii="Times New Roman;sans-serif" w:hAnsi="Times New Roman;sans-serif"/>
          <w:b w:val="false"/>
          <w:color w:val="000000"/>
          <w:sz w:val="20"/>
        </w:rPr>
        <w:t>Special Note Regarding Forward-Looking Statements”</w:t>
      </w:r>
      <w:r>
        <w:rPr>
          <w:color w:val="000000"/>
        </w:rPr>
        <w:t xml:space="preserve"> </w:t>
      </w:r>
      <w:r>
        <w:rPr>
          <w:rFonts w:ascii="Times New Roman;sans-serif" w:hAnsi="Times New Roman;sans-serif"/>
          <w:b w:val="false"/>
          <w:i/>
          <w:color w:val="000000"/>
          <w:sz w:val="20"/>
        </w:rPr>
        <w:t xml:space="preserve">and </w:t>
      </w:r>
      <w:r>
        <w:rPr>
          <w:color w:val="000000"/>
        </w:rPr>
        <w:t>“</w:t>
      </w:r>
      <w:r>
        <w:rPr>
          <w:rFonts w:ascii="Times New Roman;sans-serif" w:hAnsi="Times New Roman;sans-serif"/>
          <w:b w:val="false"/>
          <w:color w:val="000000"/>
          <w:sz w:val="20"/>
        </w:rPr>
        <w:t>Risk Factors”</w:t>
      </w:r>
      <w:r>
        <w:rPr>
          <w:color w:val="000000"/>
        </w:rPr>
        <w:t xml:space="preserve"> </w:t>
      </w:r>
      <w:r>
        <w:rPr>
          <w:rFonts w:ascii="Times New Roman;sans-serif" w:hAnsi="Times New Roman;sans-serif"/>
          <w:b w:val="false"/>
          <w:i/>
          <w:color w:val="000000"/>
          <w:sz w:val="20"/>
        </w:rPr>
        <w:t>and discussed elsewhere in this Quarterly Report.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Overview</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We are an advertising technology company. Our cloud-based demand side platform (</w:t>
      </w:r>
      <w:r>
        <w:rPr>
          <w:color w:val="000000"/>
        </w:rPr>
        <w:t>“</w:t>
      </w:r>
      <w:r>
        <w:rPr>
          <w:rFonts w:ascii="Times New Roman;sans-serif" w:hAnsi="Times New Roman;sans-serif"/>
          <w:b w:val="false"/>
          <w:color w:val="231F20"/>
          <w:sz w:val="20"/>
        </w:rPr>
        <w:t>DSP</w:t>
      </w:r>
      <w:r>
        <w:rPr>
          <w:color w:val="000000"/>
        </w:rPr>
        <w:t>”</w:t>
      </w:r>
      <w:r>
        <w:rPr>
          <w:rFonts w:ascii="Times New Roman;sans-serif" w:hAnsi="Times New Roman;sans-serif"/>
          <w:b w:val="false"/>
          <w:color w:val="231F20"/>
          <w:sz w:val="20"/>
        </w:rPr>
        <w:t>)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Our DSP is used by marketers and their advertising agencies to centralize the planning, buying and measurement of their digital advertising across most channels. Through our omni-channel platform, a marketer can easily buy ads on desktop, mobile, connected TV, linear TV, in-game, streaming audio and digital billboards.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people-based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w:t>
      </w:r>
      <w:r>
        <w:rPr>
          <w:color w:val="000000"/>
        </w:rPr>
        <w:t>“</w:t>
      </w:r>
      <w:r>
        <w:rPr>
          <w:rFonts w:ascii="Times New Roman;sans-serif" w:hAnsi="Times New Roman;sans-serif"/>
          <w:b w:val="false"/>
          <w:color w:val="000000"/>
          <w:sz w:val="20"/>
        </w:rPr>
        <w:t>ROAS</w:t>
      </w:r>
      <w:r>
        <w:rPr>
          <w:color w:val="000000"/>
        </w:rPr>
        <w:t>”</w:t>
      </w:r>
      <w:r>
        <w:rPr>
          <w:rFonts w:ascii="Times New Roman;sans-serif" w:hAnsi="Times New Roman;sans-serif"/>
          <w:b w:val="false"/>
          <w:color w:val="000000"/>
          <w:sz w:val="20"/>
        </w:rPr>
        <w:t>) across channels, and we believe this can be a feature that helps us grow our customer base as more customers recognize its benefits.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We generate revenue by charging </w:t>
      </w:r>
      <w:r>
        <w:rPr>
          <w:rFonts w:ascii="Times New Roman;sans-serif" w:hAnsi="Times New Roman;sans-serif"/>
          <w:b w:val="false"/>
          <w:color w:val="000000"/>
          <w:sz w:val="20"/>
          <w:shd w:fill="FFFFFF" w:val="clear"/>
        </w:rPr>
        <w:t xml:space="preserve">platform fees and service fees pursuant to agreements that enable a wide variety of marketers and their agencies to select the mix of pricing and service options that suits their unique business and </w:t>
      </w:r>
      <w:r>
        <w:rPr>
          <w:rFonts w:ascii="Times New Roman;sans-serif" w:hAnsi="Times New Roman;sans-serif"/>
          <w:b w:val="false"/>
          <w:color w:val="231F20"/>
          <w:sz w:val="20"/>
        </w:rPr>
        <w:t>advertising budget</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sans-serif" w:hAnsi="Times New Roman;sans-serif"/>
          <w:b w:val="false"/>
          <w:color w:val="000000"/>
          <w:sz w:val="20"/>
          <w:shd w:fill="FFFFFF" w:val="clear"/>
        </w:rPr>
        <w:t>percentage of spend. Customers who prefer to use our fixed CPM pricing option enter into insertion order (“IO”) arrangements with us,</w:t>
      </w:r>
      <w:r>
        <w:rPr>
          <w:color w:val="231F20"/>
        </w:rPr>
        <w:t xml:space="preserve"> </w:t>
      </w:r>
      <w:r>
        <w:rPr>
          <w:rFonts w:ascii="Times New Roman;sans-serif" w:hAnsi="Times New Roman;sans-serif"/>
          <w:b w:val="false"/>
          <w:color w:val="231F20"/>
          <w:sz w:val="20"/>
        </w:rPr>
        <w:t xml:space="preserve">and we generate revenue by charging these customers a platform fee at a price for every 1,000 impressions an ad receives. We also offer different service options to our customers accessing our platform under an MSA or an IO to enable them to use our services to aid them in data management, media execution and advanced reporting. When customers utilize our services, we generate revenue by charging a service fee separate from the platform fee consisting of (1) a fee that represents a percentage of spend; (2) a flat monthly fee covering services in connection with data management and advanced reporting; or (3) a fixed CPM that is inclusive of media, other direct costs and services. </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believe that offering a mix of pricing and service options provides greater flexibility and access to our platform for marketers and their advertising agencies seeking to plan, buy and measure programmatic campaigns. </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Our financial results for the three months ended </w:t>
      </w:r>
      <w:r>
        <w:rPr>
          <w:rFonts w:ascii="Times New Roman;sans-serif" w:hAnsi="Times New Roman;sans-serif"/>
          <w:b w:val="false"/>
          <w:color w:val="000000"/>
          <w:sz w:val="20"/>
        </w:rPr>
        <w:t>September 30, 2023</w:t>
      </w:r>
      <w:r>
        <w:rPr>
          <w:color w:val="231F20"/>
        </w:rPr>
        <w:t xml:space="preserve"> </w:t>
      </w:r>
      <w:r>
        <w:rPr>
          <w:rFonts w:ascii="Times New Roman;sans-serif" w:hAnsi="Times New Roman;sans-serif"/>
          <w:b w:val="false"/>
          <w:color w:val="231F20"/>
          <w:sz w:val="20"/>
        </w:rPr>
        <w:t>and 2022, respectively, include: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Revenue of $59.6 million and $48.8 million, representing an increase of 22.0%;</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Gross profit of $28.6 million and $21.3 million, representing an increase of 34.4%;</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Contribution ex-TAC</w:t>
      </w:r>
      <w:r>
        <w:rPr>
          <w:rFonts w:ascii="Times New Roman;sans-serif" w:hAnsi="Times New Roman;sans-serif"/>
          <w:b w:val="false"/>
          <w:color w:val="231F20"/>
          <w:sz w:val="13"/>
        </w:rPr>
        <w:t>(1)</w:t>
      </w:r>
      <w:r>
        <w:rPr>
          <w:color w:val="231F20"/>
        </w:rPr>
        <w:t xml:space="preserve"> </w:t>
      </w:r>
      <w:r>
        <w:rPr>
          <w:rFonts w:ascii="Times New Roman;sans-serif" w:hAnsi="Times New Roman;sans-serif"/>
          <w:b w:val="false"/>
          <w:color w:val="231F20"/>
          <w:sz w:val="20"/>
        </w:rPr>
        <w:t>of $39.1 million and $32.1 million, representing an increase of 21.9%;</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 xml:space="preserve">Net loss of $0.7 million and $12.4 million, representing an improvement of 94.6%;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Non-GAAP net income (loss)</w:t>
      </w:r>
      <w:r>
        <w:rPr>
          <w:rFonts w:ascii="Times New Roman;sans-serif" w:hAnsi="Times New Roman;sans-serif"/>
          <w:b w:val="false"/>
          <w:color w:val="231F20"/>
          <w:sz w:val="13"/>
        </w:rPr>
        <w:t>(1)</w:t>
      </w:r>
      <w:r>
        <w:rPr>
          <w:color w:val="231F20"/>
        </w:rPr>
        <w:t xml:space="preserve"> </w:t>
      </w:r>
      <w:r>
        <w:rPr>
          <w:rFonts w:ascii="Times New Roman;sans-serif" w:hAnsi="Times New Roman;sans-serif"/>
          <w:b w:val="false"/>
          <w:color w:val="231F20"/>
          <w:sz w:val="20"/>
        </w:rPr>
        <w:t>of $7.6 million and $(4.4) million, representing an improvement of 271.6%;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Adjusted EBITDA</w:t>
      </w:r>
      <w:r>
        <w:rPr>
          <w:rFonts w:ascii="Times New Roman;sans-serif" w:hAnsi="Times New Roman;sans-serif"/>
          <w:b w:val="false"/>
          <w:color w:val="231F20"/>
          <w:sz w:val="13"/>
        </w:rPr>
        <w:t>(1)</w:t>
      </w:r>
      <w:r>
        <w:rPr>
          <w:color w:val="231F20"/>
        </w:rPr>
        <w:t xml:space="preserve"> </w:t>
      </w:r>
      <w:r>
        <w:rPr>
          <w:rFonts w:ascii="Times New Roman;sans-serif" w:hAnsi="Times New Roman;sans-serif"/>
          <w:b w:val="false"/>
          <w:color w:val="231F20"/>
          <w:sz w:val="20"/>
        </w:rPr>
        <w:t>of $9.7 million and $(1.8) million, representing an improvement of 635.9%.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Our financial results for the nine months ended </w:t>
      </w:r>
      <w:r>
        <w:rPr>
          <w:rFonts w:ascii="Times New Roman;sans-serif" w:hAnsi="Times New Roman;sans-serif"/>
          <w:b w:val="false"/>
          <w:color w:val="000000"/>
          <w:sz w:val="20"/>
        </w:rPr>
        <w:t>September 30, 2023</w:t>
      </w:r>
      <w:r>
        <w:rPr>
          <w:color w:val="231F20"/>
        </w:rPr>
        <w:t xml:space="preserve"> </w:t>
      </w:r>
      <w:r>
        <w:rPr>
          <w:rFonts w:ascii="Times New Roman;sans-serif" w:hAnsi="Times New Roman;sans-serif"/>
          <w:b w:val="false"/>
          <w:color w:val="231F20"/>
          <w:sz w:val="20"/>
        </w:rPr>
        <w:t>and 2022, respectively, include: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Revenue of $158.5 million and $142.7 million, representing an increase of 11.1%;</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Gross profit of $70.7 million and $58.0 million, representing an increase of 21.9%;</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Contribution ex-TAC</w:t>
      </w:r>
      <w:r>
        <w:rPr>
          <w:rFonts w:ascii="Times New Roman;sans-serif" w:hAnsi="Times New Roman;sans-serif"/>
          <w:b w:val="false"/>
          <w:color w:val="231F20"/>
          <w:sz w:val="13"/>
        </w:rPr>
        <w:t>(1)</w:t>
      </w:r>
      <w:r>
        <w:rPr>
          <w:color w:val="231F20"/>
        </w:rPr>
        <w:t xml:space="preserve"> </w:t>
      </w:r>
      <w:r>
        <w:rPr>
          <w:rFonts w:ascii="Times New Roman;sans-serif" w:hAnsi="Times New Roman;sans-serif"/>
          <w:b w:val="false"/>
          <w:color w:val="231F20"/>
          <w:sz w:val="20"/>
        </w:rPr>
        <w:t>of $100.8 million and $91.4 million, representing an increase of 10.3%;</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 xml:space="preserve">Net loss of $13.3 million and $40.1 million, representing an improvement of 66.9%;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Non-GAAP net income (loss)</w:t>
      </w:r>
      <w:r>
        <w:rPr>
          <w:rFonts w:ascii="Times New Roman;sans-serif" w:hAnsi="Times New Roman;sans-serif"/>
          <w:b w:val="false"/>
          <w:color w:val="231F20"/>
          <w:sz w:val="13"/>
        </w:rPr>
        <w:t>(1)</w:t>
      </w:r>
      <w:r>
        <w:rPr>
          <w:color w:val="231F20"/>
        </w:rPr>
        <w:t xml:space="preserve"> </w:t>
      </w:r>
      <w:r>
        <w:rPr>
          <w:rFonts w:ascii="Times New Roman;sans-serif" w:hAnsi="Times New Roman;sans-serif"/>
          <w:b w:val="false"/>
          <w:color w:val="231F20"/>
          <w:sz w:val="20"/>
        </w:rPr>
        <w:t>of $10.8 million and $(17.2) million, representing an improvement of 163.1%;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Adjusted EBITDA</w:t>
      </w:r>
      <w:r>
        <w:rPr>
          <w:rFonts w:ascii="Times New Roman;sans-serif" w:hAnsi="Times New Roman;sans-serif"/>
          <w:b w:val="false"/>
          <w:color w:val="231F20"/>
          <w:sz w:val="13"/>
        </w:rPr>
        <w:t>(1)</w:t>
      </w:r>
      <w:r>
        <w:rPr>
          <w:color w:val="231F20"/>
        </w:rPr>
        <w:t xml:space="preserve"> </w:t>
      </w:r>
      <w:r>
        <w:rPr>
          <w:rFonts w:ascii="Times New Roman;sans-serif" w:hAnsi="Times New Roman;sans-serif"/>
          <w:b w:val="false"/>
          <w:color w:val="231F20"/>
          <w:sz w:val="20"/>
        </w:rPr>
        <w:t>of $16.1 million and $(8.8) million, representing an improvement of 283.7%.</w:t>
      </w:r>
    </w:p>
    <w:p>
      <w:pPr>
        <w:pStyle w:val="TextBody"/>
        <w:bidi w:val="0"/>
        <w:spacing w:lineRule="auto" w:line="288" w:before="240" w:after="283"/>
        <w:ind w:left="0" w:right="0" w:hanging="360"/>
        <w:jc w:val="left"/>
        <w:rPr/>
      </w:pPr>
      <w:r>
        <w:rPr>
          <w:rFonts w:ascii="Times New Roman;sans-serif" w:hAnsi="Times New Roman;sans-serif"/>
          <w:b w:val="false"/>
          <w:color w:val="231F20"/>
          <w:sz w:val="20"/>
        </w:rPr>
        <w:t xml:space="preserve">(1)Contribution ex-TAC, non-GAAP net income (loss) and adjusted EBITDA are non-GAAP financial measures. For a detailed discussion of our key operating and financial performance measures and a reconciliation of contribution ex-TAC, non-GAAP net income (loss) and adjusted EBITDA to the most directly comparable financial measures calculated in accordance with generally accepted </w:t>
      </w:r>
      <w:r>
        <w:rPr>
          <w:rFonts w:ascii="Times New Roman;sans-serif" w:hAnsi="Times New Roman;sans-serif"/>
          <w:b w:val="false"/>
          <w:color w:val="000000"/>
          <w:sz w:val="20"/>
        </w:rPr>
        <w:t>accounting principles in the United States of America</w:t>
      </w:r>
      <w:r>
        <w:rPr>
          <w:color w:val="231F20"/>
        </w:rPr>
        <w:t xml:space="preserve"> </w:t>
      </w:r>
      <w:r>
        <w:rPr>
          <w:rFonts w:ascii="Times New Roman;sans-serif" w:hAnsi="Times New Roman;sans-serif"/>
          <w:b w:val="false"/>
          <w:color w:val="231F20"/>
          <w:sz w:val="20"/>
        </w:rPr>
        <w:t>(“GAAP”), see “—Key Operating and Financial Performance Measures—Use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Factors Affecting Our Performance</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Attract, Retain and Grow our Customer Base</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Our future growth depends upon our ability to retain our existing customers and increase their usage of our platform as well as add new customers. We believe many advertisers are in the early stages of moving a greater percentage of their advertising budgets to programmatic channels. By providing solutions for the planning, buying and measuring of their media spend across most channels, we believe we are well positioned to capture more of 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Further, we intend to continue to grow our sales and marketing efforts to increase awareness of our DSP and highlight the advantages of our people-based framework as cookie-based options become increasingly limited.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our customers' usage of our platform and assess our market penetration and scale based on changes in revenue, contribution ex-TAC and advertiser spend. We define advertiser spend as the total amount billed to our customers for activity on our platform inclusive of the costs of advertising media, third-party data, other add-on features and our platform fee we charge customers. While we experienced customers reducing advertising budgets during the second half of 2022 due to adverse macroeconomic conditions, we've seen stabilizing trends in 2023. For the three months ended September 30, 2023 compared to the three months ended September 30, 2022, our revenue grew 22% and our advertiser spend per active customer increased 11%. We believe growing customer adoption of our newer products and platform features continued to drive incremental revenue and contribution ex-TAC in the quarter. Our active customer count was 301 for the twelve months ended September 30, 2023, which reflects a decline compared to the twelve months ended September 30, 2022 as we continued to cycle through a subset of customers that do not have the capacity to scale their spend on our platform. Additionally, as our mix shift towards percentage of spend becomes less impactful and as fixed price becomes a smaller percentage of total advertiser spend, we expect gross profit and contribution ex-TAC to grow faster than revenue. For a detailed discussion of our key operating measures including the definition of active customers, see “—Key Operating and Financial Performance Measures—Use of Non-GAAP Financial Measures.”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Investment in Growth</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We believe that the advertising market is in the early stages of a shift toward programmatic advertising. We plan to invest for long-term growth. We anticipate that our operating expenses will continue to increase in the foreseeable future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Impact of Macroeconomic and Geopolitical Conditions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Macroeconomic conditions and geopolitical events, such as inflation, rising interest rates, tightening of credit markets, recession risks, labor shortages, supply chain disruptions,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clients, partners, industry and employees, and have slowed the pace of further investments in sales and marketing as a result of these factors. The extent of the impact of these factors on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we initiated a cost reduction plan aimed at reducing our operating expenses and sharpening our focus on key growth priorities in light of macroeconomic conditions. This included a reduction of our employee headcount by approximately 13% resulting in restructuring charges of $1.4 million for the year ended December 31, 2022, consisting primarily of cash severance payments, employee benefits and related costs.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Growth of the Digital Advertising Market</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Seasonality</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w:t>
      </w:r>
      <w:r>
        <w:rPr>
          <w:rFonts w:ascii="Times New Roman;sans-serif" w:hAnsi="Times New Roman;sans-serif"/>
          <w:b w:val="false"/>
          <w:color w:val="000000"/>
          <w:sz w:val="20"/>
        </w:rPr>
        <w:t>.</w:t>
      </w:r>
      <w:r>
        <w:rPr>
          <w:color w:val="231F20"/>
        </w:rPr>
        <w:t xml:space="preserve"> </w:t>
      </w:r>
      <w:r>
        <w:rPr>
          <w:rFonts w:ascii="Times New Roman;sans-serif" w:hAnsi="Times New Roman;sans-serif"/>
          <w:b w:val="false"/>
          <w:color w:val="231F20"/>
          <w:sz w:val="20"/>
        </w:rPr>
        <w:t>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Results of Operations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tables present our condensed consolidated statements of operations, our condensed consolidated statements of operations as a percentage of revenue, and the impact of stock-based compensation, depreciation and amortization on each operating expense line item for the three and nine months ended September 30, 2023 and 2022:</w:t>
      </w:r>
    </w:p>
    <w:p>
      <w:pPr>
        <w:pStyle w:val="TextBody"/>
        <w:bidi w:val="0"/>
        <w:spacing w:before="120" w:after="283"/>
        <w:ind w:left="0" w:right="0" w:firstLine="540"/>
        <w:jc w:val="left"/>
        <w:rPr/>
      </w:pPr>
      <w:r>
        <w:rPr/>
      </w:r>
    </w:p>
    <w:tbl>
      <w:tblPr>
        <w:tblW w:w="9824" w:type="dxa"/>
        <w:jc w:val="center"/>
        <w:tblInd w:w="0" w:type="dxa"/>
        <w:tblLayout w:type="fixed"/>
        <w:tblCellMar>
          <w:top w:w="28" w:type="dxa"/>
          <w:left w:w="28" w:type="dxa"/>
          <w:bottom w:w="28" w:type="dxa"/>
          <w:right w:w="28" w:type="dxa"/>
        </w:tblCellMar>
      </w:tblPr>
      <w:tblGrid>
        <w:gridCol w:w="1603"/>
        <w:gridCol w:w="1409"/>
        <w:gridCol w:w="1412"/>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tbl>
      <w:tblPr>
        <w:tblW w:w="9140" w:type="dxa"/>
        <w:jc w:val="center"/>
        <w:tblInd w:w="0" w:type="dxa"/>
        <w:tblLayout w:type="fixed"/>
        <w:tblCellMar>
          <w:top w:w="28" w:type="dxa"/>
          <w:left w:w="28" w:type="dxa"/>
          <w:bottom w:w="28" w:type="dxa"/>
          <w:right w:w="28" w:type="dxa"/>
        </w:tblCellMar>
      </w:tblPr>
      <w:tblGrid>
        <w:gridCol w:w="1603"/>
        <w:gridCol w:w="1409"/>
        <w:gridCol w:w="1412"/>
        <w:gridCol w:w="266"/>
        <w:gridCol w:w="200"/>
        <w:gridCol w:w="398"/>
        <w:gridCol w:w="160"/>
        <w:gridCol w:w="160"/>
        <w:gridCol w:w="160"/>
        <w:gridCol w:w="266"/>
        <w:gridCol w:w="200"/>
        <w:gridCol w:w="398"/>
        <w:gridCol w:w="109"/>
        <w:gridCol w:w="109"/>
        <w:gridCol w:w="109"/>
        <w:gridCol w:w="266"/>
        <w:gridCol w:w="200"/>
        <w:gridCol w:w="370"/>
        <w:gridCol w:w="149"/>
        <w:gridCol w:w="149"/>
        <w:gridCol w:w="149"/>
        <w:gridCol w:w="266"/>
        <w:gridCol w:w="200"/>
        <w:gridCol w:w="432"/>
      </w:tblGrid>
      <w:tr>
        <w:trPr/>
        <w:tc>
          <w:tcPr>
            <w:tcW w:w="16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360"/>
        <w:jc w:val="left"/>
        <w:rPr/>
      </w:pPr>
      <w:r>
        <w:rPr>
          <w:rFonts w:ascii="Times New Roman;sans-serif" w:hAnsi="Times New Roman;sans-serif"/>
          <w:b w:val="false"/>
          <w:color w:val="231F20"/>
          <w:sz w:val="20"/>
        </w:rPr>
        <w:t>*Percentages may not sum due to rounding</w:t>
      </w:r>
      <w:r>
        <w:rPr>
          <w:color w:val="000000"/>
        </w:rPr>
        <w:t xml:space="preserve"> </w:t>
      </w:r>
    </w:p>
    <w:p>
      <w:pPr>
        <w:pStyle w:val="TextBody"/>
        <w:bidi w:val="0"/>
        <w:spacing w:lineRule="auto" w:line="288" w:before="240" w:after="283"/>
        <w:ind w:left="0" w:right="0" w:hanging="360"/>
        <w:jc w:val="left"/>
        <w:rPr/>
      </w:pPr>
      <w:r>
        <w:rPr>
          <w:rFonts w:ascii="Times New Roman;sans-serif" w:hAnsi="Times New Roman;sans-serif"/>
          <w:b w:val="false"/>
          <w:color w:val="231F20"/>
          <w:sz w:val="20"/>
        </w:rPr>
        <w:t>(1)</w:t>
      </w:r>
      <w:r>
        <w:rPr>
          <w:rFonts w:ascii="Times New Roman;sans-serif" w:hAnsi="Times New Roman;sans-serif"/>
          <w:b w:val="false"/>
          <w:color w:val="000000"/>
          <w:sz w:val="20"/>
        </w:rPr>
        <w:t>Stock-based compensation, depreciation and amortization included in operating expenses are as follows:</w:t>
      </w:r>
    </w:p>
    <w:tbl>
      <w:tblPr>
        <w:tblW w:w="7725" w:type="dxa"/>
        <w:jc w:val="center"/>
        <w:tblInd w:w="0" w:type="dxa"/>
        <w:tblLayout w:type="fixed"/>
        <w:tblCellMar>
          <w:top w:w="28" w:type="dxa"/>
          <w:left w:w="28" w:type="dxa"/>
          <w:bottom w:w="28" w:type="dxa"/>
          <w:right w:w="28" w:type="dxa"/>
        </w:tblCellMar>
      </w:tblPr>
      <w:tblGrid>
        <w:gridCol w:w="996"/>
        <w:gridCol w:w="873"/>
        <w:gridCol w:w="87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40" w:type="dxa"/>
        <w:jc w:val="center"/>
        <w:tblInd w:w="0" w:type="dxa"/>
        <w:tblLayout w:type="fixed"/>
        <w:tblCellMar>
          <w:top w:w="28" w:type="dxa"/>
          <w:left w:w="28" w:type="dxa"/>
          <w:bottom w:w="28" w:type="dxa"/>
          <w:right w:w="28" w:type="dxa"/>
        </w:tblCellMar>
      </w:tblPr>
      <w:tblGrid>
        <w:gridCol w:w="927"/>
        <w:gridCol w:w="816"/>
        <w:gridCol w:w="82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tbl>
      <w:tblPr>
        <w:tblW w:w="6753" w:type="dxa"/>
        <w:jc w:val="center"/>
        <w:tblInd w:w="0" w:type="dxa"/>
        <w:tblLayout w:type="fixed"/>
        <w:tblCellMar>
          <w:top w:w="28" w:type="dxa"/>
          <w:left w:w="28" w:type="dxa"/>
          <w:bottom w:w="28" w:type="dxa"/>
          <w:right w:w="28" w:type="dxa"/>
        </w:tblCellMar>
      </w:tblPr>
      <w:tblGrid>
        <w:gridCol w:w="928"/>
        <w:gridCol w:w="816"/>
        <w:gridCol w:w="820"/>
        <w:gridCol w:w="213"/>
        <w:gridCol w:w="471"/>
        <w:gridCol w:w="110"/>
        <w:gridCol w:w="110"/>
        <w:gridCol w:w="110"/>
        <w:gridCol w:w="110"/>
        <w:gridCol w:w="213"/>
        <w:gridCol w:w="471"/>
        <w:gridCol w:w="110"/>
        <w:gridCol w:w="109"/>
        <w:gridCol w:w="109"/>
        <w:gridCol w:w="109"/>
        <w:gridCol w:w="211"/>
        <w:gridCol w:w="466"/>
        <w:gridCol w:w="109"/>
        <w:gridCol w:w="109"/>
        <w:gridCol w:w="109"/>
        <w:gridCol w:w="109"/>
        <w:gridCol w:w="211"/>
        <w:gridCol w:w="46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Amortization:</w:t>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Comparison of the Three Months Ended September 30, 2023 and 2022</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Revenue</w:t>
      </w:r>
    </w:p>
    <w:tbl>
      <w:tblPr>
        <w:tblW w:w="5622" w:type="dxa"/>
        <w:jc w:val="center"/>
        <w:tblInd w:w="0" w:type="dxa"/>
        <w:tblLayout w:type="fixed"/>
        <w:tblCellMar>
          <w:top w:w="28" w:type="dxa"/>
          <w:left w:w="28" w:type="dxa"/>
          <w:bottom w:w="28" w:type="dxa"/>
          <w:right w:w="28" w:type="dxa"/>
        </w:tblCellMar>
      </w:tblPr>
      <w:tblGrid>
        <w:gridCol w:w="304"/>
        <w:gridCol w:w="268"/>
        <w:gridCol w:w="26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left"/>
        <w:rPr/>
      </w:pPr>
      <w:r>
        <w:rPr>
          <w:rFonts w:ascii="Times New Roman;sans-serif" w:hAnsi="Times New Roman;sans-serif"/>
          <w:b w:val="false"/>
          <w:color w:val="231F20"/>
          <w:sz w:val="20"/>
        </w:rPr>
        <w:t>Revenue increased by $10.8 million, or 22%, during the three months ended September 30, 2023 compared to the three months ended September 30, 2022. The increase was primarily due t</w:t>
      </w:r>
      <w:r>
        <w:rPr>
          <w:rFonts w:ascii="Times New Roman;sans-serif" w:hAnsi="Times New Roman;sans-serif"/>
          <w:b w:val="false"/>
          <w:color w:val="000000"/>
          <w:sz w:val="20"/>
        </w:rPr>
        <w:t>o a 42% increase in revenue from marketers in the retail, consumer goods and travel industry verticals and a 7% increase in all other industry vertical</w:t>
      </w:r>
      <w:r>
        <w:rPr>
          <w:rFonts w:ascii="Times New Roman;sans-serif" w:hAnsi="Times New Roman;sans-serif"/>
          <w:b w:val="false"/>
          <w:color w:val="231F20"/>
          <w:sz w:val="20"/>
        </w:rPr>
        <w:t>s. Additionally, approximately 86% of our revenue for the three months ended September 30, 2023 came from customers that had been customers during the three months ended September 30,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Platform Operations</w:t>
      </w:r>
    </w:p>
    <w:tbl>
      <w:tblPr>
        <w:tblW w:w="7204" w:type="dxa"/>
        <w:jc w:val="center"/>
        <w:tblInd w:w="0" w:type="dxa"/>
        <w:tblLayout w:type="fixed"/>
        <w:tblCellMar>
          <w:top w:w="28" w:type="dxa"/>
          <w:left w:w="28" w:type="dxa"/>
          <w:bottom w:w="28" w:type="dxa"/>
          <w:right w:w="28" w:type="dxa"/>
        </w:tblCellMar>
      </w:tblPr>
      <w:tblGrid>
        <w:gridCol w:w="798"/>
        <w:gridCol w:w="702"/>
        <w:gridCol w:w="704"/>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Traffic acquisition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platform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Platform operations expense increased by $3.4 million, or 12%, during the three months ended September 30, 2023 compared to the three months ended September 30, 2022. This increase was driven by a $3.7 million increase in traffic acquisition costs (“TAC”), a variable function of revenue related to our fixed CPM pricing option and certain arrangements related to our percentage of spend pricing option. TAC represent amounts incurred and payable to suppliers for the cost of advertising media, third-party data and other add-on features. The increase was partially offset by a decrease in other platform operations expense resulting primarily from a $0.6 million decrease in personnel costs and a $0.2 million decrease in third-party costs in support of our DSP, partially offset by a $0.4 million increase in depreciation and amortization, net, driven by our continued investment in developed technology.</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Sales and Marketing</w:t>
      </w:r>
    </w:p>
    <w:tbl>
      <w:tblPr>
        <w:tblW w:w="7054" w:type="dxa"/>
        <w:jc w:val="center"/>
        <w:tblInd w:w="0" w:type="dxa"/>
        <w:tblLayout w:type="fixed"/>
        <w:tblCellMar>
          <w:top w:w="28" w:type="dxa"/>
          <w:left w:w="28" w:type="dxa"/>
          <w:bottom w:w="28" w:type="dxa"/>
          <w:right w:w="28" w:type="dxa"/>
        </w:tblCellMar>
      </w:tblPr>
      <w:tblGrid>
        <w:gridCol w:w="688"/>
        <w:gridCol w:w="606"/>
        <w:gridCol w:w="610"/>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316"/>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Sales and marketing expense decreased by $2.8 million, or 17%, during the three months ended September 30, 2023 compared to the three months ended September 30, 2022. This decrease was primarily due to a $2.8 million decrease in personnel costs and </w:t>
      </w:r>
      <w:r>
        <w:rPr>
          <w:rFonts w:ascii="Times New Roman;sans-serif" w:hAnsi="Times New Roman;sans-serif"/>
          <w:b w:val="false"/>
          <w:color w:val="221F1F"/>
          <w:sz w:val="20"/>
        </w:rPr>
        <w:t xml:space="preserve">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jc w:val="left"/>
        <w:rPr/>
      </w:pPr>
      <w:r>
        <w:rPr>
          <w:rFonts w:ascii="Times New Roman;sans-serif" w:hAnsi="Times New Roman;sans-serif"/>
          <w:b w:val="false"/>
          <w:color w:val="221F1F"/>
          <w:sz w:val="20"/>
        </w:rPr>
        <w:t>$0.4 million</w:t>
      </w:r>
      <w:r>
        <w:rPr>
          <w:color w:val="231F20"/>
        </w:rPr>
        <w:t xml:space="preserve"> </w:t>
      </w:r>
      <w:r>
        <w:rPr>
          <w:rFonts w:ascii="Times New Roman;sans-serif" w:hAnsi="Times New Roman;sans-serif"/>
          <w:b w:val="false"/>
          <w:color w:val="231F20"/>
          <w:sz w:val="20"/>
        </w:rPr>
        <w:t>decrease in advertising expense, partially offset by a $0.3 million increase in stock-based compensation and a $0.2 million increase in travel and entertainment expenses.</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Technology and Development</w:t>
      </w:r>
    </w:p>
    <w:tbl>
      <w:tblPr>
        <w:tblW w:w="7204" w:type="dxa"/>
        <w:jc w:val="center"/>
        <w:tblInd w:w="0" w:type="dxa"/>
        <w:tblLayout w:type="fixed"/>
        <w:tblCellMar>
          <w:top w:w="28" w:type="dxa"/>
          <w:left w:w="28" w:type="dxa"/>
          <w:bottom w:w="28" w:type="dxa"/>
          <w:right w:w="28" w:type="dxa"/>
        </w:tblCellMar>
      </w:tblPr>
      <w:tblGrid>
        <w:gridCol w:w="930"/>
        <w:gridCol w:w="815"/>
        <w:gridCol w:w="819"/>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180"/>
        <w:gridCol w:w="181"/>
        <w:gridCol w:w="316"/>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Technology and development expense increased by $0.6 million, or 10%, during the three months ended September 30, 2023 compared to the three months ended September 30, 2022. This increase was primarily due to a $0.6 million increase in personnel costs and a $0.1 million increase in stock-based compensation, partially offset by a $0.1 million decrease in professional services.</w:t>
      </w:r>
    </w:p>
    <w:p>
      <w:pPr>
        <w:pStyle w:val="TextBody"/>
        <w:bidi w:val="0"/>
        <w:spacing w:lineRule="auto" w:line="288" w:before="240" w:after="120"/>
        <w:jc w:val="left"/>
        <w:rPr>
          <w:rFonts w:ascii="Times New Roman;sans-serif" w:hAnsi="Times New Roman;sans-serif"/>
          <w:b w:val="false"/>
          <w:i/>
          <w:color w:val="231F20"/>
          <w:sz w:val="20"/>
        </w:rPr>
      </w:pPr>
      <w:r>
        <w:rPr>
          <w:rFonts w:ascii="Times New Roman;sans-serif" w:hAnsi="Times New Roman;sans-serif"/>
          <w:b w:val="false"/>
          <w:i/>
          <w:color w:val="231F20"/>
          <w:sz w:val="20"/>
        </w:rPr>
        <w:t>General and Administrative</w:t>
      </w:r>
    </w:p>
    <w:tbl>
      <w:tblPr>
        <w:tblW w:w="7203" w:type="dxa"/>
        <w:jc w:val="center"/>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541"/>
        <w:gridCol w:w="109"/>
        <w:gridCol w:w="109"/>
        <w:gridCol w:w="109"/>
        <w:gridCol w:w="109"/>
        <w:gridCol w:w="164"/>
        <w:gridCol w:w="166"/>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231F20"/>
          <w:sz w:val="20"/>
        </w:rPr>
        <w:t>General and administrative expense decreased by $0.5 million, or 4%, during the three months ended September 30, 2023 compared to the three months ended September 30, 2022. This decrease was primarily attributable to</w:t>
      </w:r>
      <w:r>
        <w:rPr>
          <w:color w:val="000000"/>
        </w:rPr>
        <w:t xml:space="preserve"> </w:t>
      </w:r>
      <w:r>
        <w:rPr>
          <w:rFonts w:ascii="Times New Roman;sans-serif" w:hAnsi="Times New Roman;sans-serif"/>
          <w:b w:val="false"/>
          <w:color w:val="231F20"/>
          <w:sz w:val="20"/>
        </w:rPr>
        <w:t>a $0.8 million decrease in business insurance and tax, accounting, legal, and consulting expenses associated with general corporate and compliance matters and a $0.8 million decrease in bad debt reserves, partially offset by a $0.7 million increase in stock-based compensation, a $0.2 million increase in recruiting expenses and a $0.2 million increase in personnel costs.</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Total Other Expense (Income), Net</w:t>
      </w:r>
    </w:p>
    <w:tbl>
      <w:tblPr>
        <w:tblW w:w="7805" w:type="dxa"/>
        <w:jc w:val="center"/>
        <w:tblInd w:w="0" w:type="dxa"/>
        <w:tblLayout w:type="fixed"/>
        <w:tblCellMar>
          <w:top w:w="28" w:type="dxa"/>
          <w:left w:w="28" w:type="dxa"/>
          <w:bottom w:w="28" w:type="dxa"/>
          <w:right w:w="28" w:type="dxa"/>
        </w:tblCellMar>
      </w:tblPr>
      <w:tblGrid>
        <w:gridCol w:w="1025"/>
        <w:gridCol w:w="903"/>
        <w:gridCol w:w="907"/>
        <w:gridCol w:w="211"/>
        <w:gridCol w:w="691"/>
        <w:gridCol w:w="271"/>
        <w:gridCol w:w="109"/>
        <w:gridCol w:w="109"/>
        <w:gridCol w:w="109"/>
        <w:gridCol w:w="211"/>
        <w:gridCol w:w="541"/>
        <w:gridCol w:w="271"/>
        <w:gridCol w:w="109"/>
        <w:gridCol w:w="109"/>
        <w:gridCol w:w="109"/>
        <w:gridCol w:w="211"/>
        <w:gridCol w:w="691"/>
        <w:gridCol w:w="109"/>
        <w:gridCol w:w="109"/>
        <w:gridCol w:w="109"/>
        <w:gridCol w:w="109"/>
        <w:gridCol w:w="233"/>
        <w:gridCol w:w="233"/>
        <w:gridCol w:w="316"/>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797" w:type="dxa"/>
            <w:gridSpan w:val="18"/>
            <w:tcBorders/>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other income for the three months ended September 30, 2023 was $2.3 million compared to total other income of $0.4 million for the same period in 2022. The change from the prior year was primarily due to higher interest income on cash and cash equivalents due to higher interest rates and an increase in our money market funds balance.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each of the three months ended September 30, 2023 and 2022, total interest cost incurred was $0.1 million. Interest costs capitalized during the three months ended September 30, 2023 and 2022 were de minimis.</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Provision For Income Taxes</w:t>
      </w:r>
    </w:p>
    <w:tbl>
      <w:tblPr>
        <w:tblW w:w="6349" w:type="dxa"/>
        <w:jc w:val="center"/>
        <w:tblInd w:w="0" w:type="dxa"/>
        <w:tblLayout w:type="fixed"/>
        <w:tblCellMar>
          <w:top w:w="28" w:type="dxa"/>
          <w:left w:w="28" w:type="dxa"/>
          <w:bottom w:w="28" w:type="dxa"/>
          <w:right w:w="28" w:type="dxa"/>
        </w:tblCellMar>
      </w:tblPr>
      <w:tblGrid>
        <w:gridCol w:w="825"/>
        <w:gridCol w:w="726"/>
        <w:gridCol w:w="729"/>
        <w:gridCol w:w="211"/>
        <w:gridCol w:w="466"/>
        <w:gridCol w:w="271"/>
        <w:gridCol w:w="109"/>
        <w:gridCol w:w="109"/>
        <w:gridCol w:w="109"/>
        <w:gridCol w:w="211"/>
        <w:gridCol w:w="406"/>
        <w:gridCol w:w="271"/>
        <w:gridCol w:w="109"/>
        <w:gridCol w:w="109"/>
        <w:gridCol w:w="109"/>
        <w:gridCol w:w="211"/>
        <w:gridCol w:w="466"/>
        <w:gridCol w:w="109"/>
        <w:gridCol w:w="109"/>
        <w:gridCol w:w="109"/>
        <w:gridCol w:w="109"/>
        <w:gridCol w:w="136"/>
        <w:gridCol w:w="136"/>
        <w:gridCol w:w="19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The U.S. federal statutory tax rate was 21% for the three months ended September 30, 2023 and 2022, respectively. The provision for income taxes increased by $0.2 million during the three months ended September 30, 2023 compared to the three months ended September 30, 2022. This increase was attributable to current federal and state taxes resulting from Viant Technology Inc.'s pro-rata share of taxable income from Viant Technology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Comparison of the Nine Months Ended September 30, 2023 and 2022</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Revenue</w:t>
      </w:r>
    </w:p>
    <w:tbl>
      <w:tblPr>
        <w:tblW w:w="5832" w:type="dxa"/>
        <w:jc w:val="center"/>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Revenue increased by $15.9 million, or 11%, during the nine months ended September 30, 2023 compared to the nine months ended September 30, 2022. This increase was primarily due to a 44% increase in revenue from marketers in the retail vertical and a 4% increase in revenue from marketers in all other industry verticals. Additionally, approximately 90% of our revenue for the nine months ended September 30, 2023 came from customers that had been customers during the nine months ended September 30,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Platform Operations</w:t>
      </w:r>
    </w:p>
    <w:tbl>
      <w:tblPr>
        <w:tblW w:w="7278" w:type="dxa"/>
        <w:jc w:val="center"/>
        <w:tblInd w:w="0" w:type="dxa"/>
        <w:tblLayout w:type="fixed"/>
        <w:tblCellMar>
          <w:top w:w="28" w:type="dxa"/>
          <w:left w:w="28" w:type="dxa"/>
          <w:bottom w:w="28" w:type="dxa"/>
          <w:right w:w="28" w:type="dxa"/>
        </w:tblCellMar>
      </w:tblPr>
      <w:tblGrid>
        <w:gridCol w:w="798"/>
        <w:gridCol w:w="702"/>
        <w:gridCol w:w="704"/>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16"/>
        <w:gridCol w:w="219"/>
        <w:gridCol w:w="316"/>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Traffic acquisition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platform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Platform operations expense increased by $3.2 million, or 4%, during the nine months ended September 30, 2023 compared to the nine months ended September 30, 2022. This increase was primarily driven by a $6.4 million increase in TAC, a variable function of revenue related to our fixed CPM pricing option and certain arrangements related to our percentage of spend pricing option. The increase was partially offset by a decrease in other platform operations expense resulting primarily from a $1.6 million decrease in personnel costs, a $1.1 million decrease in third-party costs in support of our DSP, a $1.1 million decrease in cloud costs due to continued efforts to increase cloud infrastructure efficiencies, a $0.4 million decrease in stock-based compensation and a $0.2 million decrease in data center services, partially offset by a $1.1 million increase in depreciation and amortization, net, related to our continued investment in developed technology.</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Sales and Marketing</w:t>
      </w:r>
    </w:p>
    <w:tbl>
      <w:tblPr>
        <w:tblW w:w="7054" w:type="dxa"/>
        <w:jc w:val="center"/>
        <w:tblInd w:w="0" w:type="dxa"/>
        <w:tblLayout w:type="fixed"/>
        <w:tblCellMar>
          <w:top w:w="28" w:type="dxa"/>
          <w:left w:w="28" w:type="dxa"/>
          <w:bottom w:w="28" w:type="dxa"/>
          <w:right w:w="28" w:type="dxa"/>
        </w:tblCellMar>
      </w:tblPr>
      <w:tblGrid>
        <w:gridCol w:w="688"/>
        <w:gridCol w:w="606"/>
        <w:gridCol w:w="610"/>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316"/>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Sales and marketing expense decreased by $10.0 million, or 21%, during the nine months ended September 30, 2023 compared to the nine months ended September 30, 2022. This decrease was primarily driven by a $7.8 million decrease in personnel costs and </w:t>
      </w:r>
      <w:r>
        <w:rPr>
          <w:rFonts w:ascii="Times New Roman;sans-serif" w:hAnsi="Times New Roman;sans-serif"/>
          <w:b w:val="false"/>
          <w:color w:val="221F1F"/>
          <w:sz w:val="20"/>
        </w:rPr>
        <w:t>a $3.5 million</w:t>
      </w:r>
      <w:r>
        <w:rPr>
          <w:color w:val="231F20"/>
        </w:rPr>
        <w:t xml:space="preserve"> </w:t>
      </w:r>
      <w:r>
        <w:rPr>
          <w:rFonts w:ascii="Times New Roman;sans-serif" w:hAnsi="Times New Roman;sans-serif"/>
          <w:b w:val="false"/>
          <w:color w:val="231F20"/>
          <w:sz w:val="20"/>
        </w:rPr>
        <w:t>decrease in advertising expense, partially offset by a $0.7 million increase in stock-based compensation and a $0.5 million increase in travel and entertainment expense.</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Technology and Development</w:t>
      </w:r>
    </w:p>
    <w:tbl>
      <w:tblPr>
        <w:tblW w:w="7564" w:type="dxa"/>
        <w:jc w:val="center"/>
        <w:tblInd w:w="0" w:type="dxa"/>
        <w:tblLayout w:type="fixed"/>
        <w:tblCellMar>
          <w:top w:w="28" w:type="dxa"/>
          <w:left w:w="28" w:type="dxa"/>
          <w:bottom w:w="28" w:type="dxa"/>
          <w:right w:w="28" w:type="dxa"/>
        </w:tblCellMar>
      </w:tblPr>
      <w:tblGrid>
        <w:gridCol w:w="930"/>
        <w:gridCol w:w="815"/>
        <w:gridCol w:w="81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Technology and development expense increased by $2.6 million, or 17%, during the nine months ended September 30, 2023 compared to the nine months ended September 30, 2022. This increase was primarily attributable to a $2.0 million increase in personnel costs, a $0.4 million increase in facilities expense, a $0.3 million increase in stock-based compensation, a $0.1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increase in recruiting expenses and a $0.1 million increase in cybersecurity costs, partially offset by a $0.4 million decrease in consulting services.</w:t>
      </w:r>
    </w:p>
    <w:p>
      <w:pPr>
        <w:pStyle w:val="TextBody"/>
        <w:bidi w:val="0"/>
        <w:spacing w:lineRule="auto" w:line="288" w:before="240" w:after="120"/>
        <w:jc w:val="left"/>
        <w:rPr>
          <w:rFonts w:ascii="Times New Roman;sans-serif" w:hAnsi="Times New Roman;sans-serif"/>
          <w:b w:val="false"/>
          <w:i/>
          <w:color w:val="231F20"/>
          <w:sz w:val="20"/>
        </w:rPr>
      </w:pPr>
      <w:r>
        <w:rPr>
          <w:rFonts w:ascii="Times New Roman;sans-serif" w:hAnsi="Times New Roman;sans-serif"/>
          <w:b w:val="false"/>
          <w:i/>
          <w:color w:val="231F20"/>
          <w:sz w:val="20"/>
        </w:rPr>
        <w:t>General and Administrative</w:t>
      </w:r>
    </w:p>
    <w:tbl>
      <w:tblPr>
        <w:tblW w:w="7203" w:type="dxa"/>
        <w:jc w:val="center"/>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541"/>
        <w:gridCol w:w="109"/>
        <w:gridCol w:w="109"/>
        <w:gridCol w:w="109"/>
        <w:gridCol w:w="109"/>
        <w:gridCol w:w="164"/>
        <w:gridCol w:w="166"/>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231F20"/>
          <w:sz w:val="20"/>
        </w:rPr>
        <w:t>General and administrative expense decreased by $0.8 million, or 2%, during the nine months ended September 30, 2023 compared to the nine months ended September 30, 2022. This decrease was primarily attributable to</w:t>
      </w:r>
      <w:r>
        <w:rPr>
          <w:color w:val="000000"/>
        </w:rPr>
        <w:t xml:space="preserve"> </w:t>
      </w:r>
      <w:r>
        <w:rPr>
          <w:rFonts w:ascii="Times New Roman;sans-serif" w:hAnsi="Times New Roman;sans-serif"/>
          <w:b w:val="false"/>
          <w:color w:val="231F20"/>
          <w:sz w:val="20"/>
        </w:rPr>
        <w:t>a $1.8 million decrease in business insurance and tax, accounting, legal, and consulting expenses associated with general corporate and compliance matters, a $0.8 million decrease in bad debt reserves, a $0.5 million decrease in recruiting services and a $0.4 million decrease in travel and entertainment, partially offset by a $2.3 million increase in stock-based compensation and a $0.4 million increase in personnel costs.</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Total Other Expense (Income), Net</w:t>
      </w:r>
    </w:p>
    <w:tbl>
      <w:tblPr>
        <w:tblW w:w="7309" w:type="dxa"/>
        <w:jc w:val="center"/>
        <w:tblInd w:w="0" w:type="dxa"/>
        <w:tblLayout w:type="fixed"/>
        <w:tblCellMar>
          <w:top w:w="28" w:type="dxa"/>
          <w:left w:w="28" w:type="dxa"/>
          <w:bottom w:w="28" w:type="dxa"/>
          <w:right w:w="28" w:type="dxa"/>
        </w:tblCellMar>
      </w:tblPr>
      <w:tblGrid>
        <w:gridCol w:w="1025"/>
        <w:gridCol w:w="903"/>
        <w:gridCol w:w="907"/>
        <w:gridCol w:w="211"/>
        <w:gridCol w:w="691"/>
        <w:gridCol w:w="271"/>
        <w:gridCol w:w="109"/>
        <w:gridCol w:w="109"/>
        <w:gridCol w:w="109"/>
        <w:gridCol w:w="211"/>
        <w:gridCol w:w="361"/>
        <w:gridCol w:w="271"/>
        <w:gridCol w:w="109"/>
        <w:gridCol w:w="109"/>
        <w:gridCol w:w="109"/>
        <w:gridCol w:w="211"/>
        <w:gridCol w:w="691"/>
        <w:gridCol w:w="109"/>
        <w:gridCol w:w="109"/>
        <w:gridCol w:w="109"/>
        <w:gridCol w:w="109"/>
        <w:gridCol w:w="136"/>
        <w:gridCol w:w="136"/>
        <w:gridCol w:w="19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other income for the nine months ended September 30, 2023 was $6.1 million and de minimis for the same period in 2022. The change from the prior year was primarily due to higher interest income on cash and cash equivalents due to higher interest rates, an increase in our money market funds balance and lower interest expense as a result of paying off the full outstanding balance under our revolving credit facility with PNC Bank in May 2022.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interest cost incurred was $0.3 million and $0.4 million, respectively. Interest costs capitalized during the nine months ended September 30, 2023 and 2022 were de minimis.</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Provision For Income Taxes</w:t>
      </w:r>
    </w:p>
    <w:tbl>
      <w:tblPr>
        <w:tblW w:w="6349" w:type="dxa"/>
        <w:jc w:val="center"/>
        <w:tblInd w:w="0" w:type="dxa"/>
        <w:tblLayout w:type="fixed"/>
        <w:tblCellMar>
          <w:top w:w="28" w:type="dxa"/>
          <w:left w:w="28" w:type="dxa"/>
          <w:bottom w:w="28" w:type="dxa"/>
          <w:right w:w="28" w:type="dxa"/>
        </w:tblCellMar>
      </w:tblPr>
      <w:tblGrid>
        <w:gridCol w:w="825"/>
        <w:gridCol w:w="726"/>
        <w:gridCol w:w="729"/>
        <w:gridCol w:w="211"/>
        <w:gridCol w:w="466"/>
        <w:gridCol w:w="271"/>
        <w:gridCol w:w="109"/>
        <w:gridCol w:w="109"/>
        <w:gridCol w:w="109"/>
        <w:gridCol w:w="211"/>
        <w:gridCol w:w="406"/>
        <w:gridCol w:w="271"/>
        <w:gridCol w:w="109"/>
        <w:gridCol w:w="109"/>
        <w:gridCol w:w="109"/>
        <w:gridCol w:w="211"/>
        <w:gridCol w:w="466"/>
        <w:gridCol w:w="109"/>
        <w:gridCol w:w="109"/>
        <w:gridCol w:w="109"/>
        <w:gridCol w:w="109"/>
        <w:gridCol w:w="136"/>
        <w:gridCol w:w="136"/>
        <w:gridCol w:w="19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The U.S. federal statutory tax rate was 21% for the nine months ended September 30, 2023 and 2022, respectively. The provision for income taxes increased by $0.2 million during the nine months ended September 30, 2023 compared to the nine months ended September 30, 2022. This increase was attributable to current federal and state taxes resulting from Viant Technology Inc.'s pro-rata share of taxable income from Viant Technology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Key Operating and Financial Performance Measures</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Use of Non-GAAP Financial Measures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We monitor certain non-GAAP financial measures to help us evaluate growth trends, establish budgets, measure the effectiveness of our sales and marketing efforts and assess our operational efficiencies. </w:t>
      </w:r>
      <w:r>
        <w:rPr>
          <w:rFonts w:ascii="Times New Roman;sans-serif" w:hAnsi="Times New Roman;sans-serif"/>
          <w:b w:val="false"/>
          <w:color w:val="000000"/>
          <w:sz w:val="20"/>
        </w:rPr>
        <w:t xml:space="preserve">We believe these measures enhance an understanding of our overall performance and investors’ 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Times New Roman;sans-serif" w:hAnsi="Times New Roman;sans-serif"/>
          <w:b w:val="false"/>
          <w:color w:val="231F20"/>
          <w:sz w:val="20"/>
        </w:rPr>
        <w:t xml:space="preserve">These non-GAAP financial measures include contribution ex-TAC, non-GAAP operating expenses, adjusted EBITDA, adjusted EBITDA as a percentage of contribution ex-TAC, non-GAAP net income (loss), and non-GAAP earnings (loss) per share of Class A common stock—basic and diluted, each of which are discussed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immediately following the table below, along with the operational performance measure of active customers.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tbl>
      <w:tblPr>
        <w:tblW w:w="10205" w:type="dxa"/>
        <w:jc w:val="center"/>
        <w:tblInd w:w="0" w:type="dxa"/>
        <w:tblLayout w:type="fixed"/>
        <w:tblCellMar>
          <w:top w:w="28" w:type="dxa"/>
          <w:left w:w="28" w:type="dxa"/>
          <w:bottom w:w="28" w:type="dxa"/>
          <w:right w:w="28" w:type="dxa"/>
        </w:tblCellMar>
      </w:tblPr>
      <w:tblGrid>
        <w:gridCol w:w="599"/>
        <w:gridCol w:w="526"/>
        <w:gridCol w:w="527"/>
        <w:gridCol w:w="211"/>
        <w:gridCol w:w="721"/>
        <w:gridCol w:w="271"/>
        <w:gridCol w:w="109"/>
        <w:gridCol w:w="109"/>
        <w:gridCol w:w="109"/>
        <w:gridCol w:w="211"/>
        <w:gridCol w:w="743"/>
        <w:gridCol w:w="271"/>
        <w:gridCol w:w="109"/>
        <w:gridCol w:w="109"/>
        <w:gridCol w:w="109"/>
        <w:gridCol w:w="247"/>
        <w:gridCol w:w="222"/>
        <w:gridCol w:w="440"/>
        <w:gridCol w:w="109"/>
        <w:gridCol w:w="109"/>
        <w:gridCol w:w="109"/>
        <w:gridCol w:w="211"/>
        <w:gridCol w:w="826"/>
        <w:gridCol w:w="271"/>
        <w:gridCol w:w="109"/>
        <w:gridCol w:w="109"/>
        <w:gridCol w:w="109"/>
        <w:gridCol w:w="211"/>
        <w:gridCol w:w="826"/>
        <w:gridCol w:w="271"/>
        <w:gridCol w:w="109"/>
        <w:gridCol w:w="109"/>
        <w:gridCol w:w="109"/>
        <w:gridCol w:w="235"/>
        <w:gridCol w:w="231"/>
        <w:gridCol w:w="499"/>
      </w:tblGrid>
      <w:tr>
        <w:trPr/>
        <w:tc>
          <w:tcPr>
            <w:tcW w:w="59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and Financial Performance Measures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as a percentage of 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as a percentage of contribution ex-TAC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(loss) per share—basic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(loss) per share—diluted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231F20"/>
          <w:sz w:val="20"/>
        </w:rPr>
      </w:pPr>
      <w:r>
        <w:rPr>
          <w:rFonts w:ascii="Times New Roman;sans-serif" w:hAnsi="Times New Roman;sans-serif"/>
          <w:b w:val="false"/>
          <w:i/>
          <w:color w:val="231F20"/>
          <w:sz w:val="20"/>
        </w:rPr>
        <w:t>Contribution ex-TAC</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the calculation of gross profit and reconciliation of gross profit to contribution ex-TAC for the three and nine months ended September 30, 2023 and 2022:</w:t>
      </w:r>
    </w:p>
    <w:tbl>
      <w:tblPr>
        <w:tblW w:w="8054" w:type="dxa"/>
        <w:jc w:val="center"/>
        <w:tblInd w:w="0" w:type="dxa"/>
        <w:tblLayout w:type="fixed"/>
        <w:tblCellMar>
          <w:top w:w="28" w:type="dxa"/>
          <w:left w:w="28" w:type="dxa"/>
          <w:bottom w:w="28" w:type="dxa"/>
          <w:right w:w="28" w:type="dxa"/>
        </w:tblCellMar>
      </w:tblPr>
      <w:tblGrid>
        <w:gridCol w:w="957"/>
        <w:gridCol w:w="846"/>
        <w:gridCol w:w="851"/>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Platform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Other platform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231F20"/>
          <w:sz w:val="20"/>
        </w:rPr>
      </w:pPr>
      <w:r>
        <w:rPr>
          <w:rFonts w:ascii="Times New Roman;sans-serif" w:hAnsi="Times New Roman;sans-serif"/>
          <w:b w:val="false"/>
          <w:i/>
          <w:color w:val="231F20"/>
          <w:sz w:val="20"/>
        </w:rPr>
        <w:t>Active customers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We define an active customer as a customer that had total aggregate contribution ex-TAC of at least $5,000 through our platform during the previous twelve months. For purposes of this definition, a customer that operates under any of our pricing options that equals or exceeds the aforementioned contribution ex-TAC threshold is considered an active customer. Active customers is a key measure used by our management and board of directors to understand and evaluate our operating performance and trends, develop short- and long-term operational plans and make strategic decisions regarding future enhancements to our platform. We believe active customers is a useful metric for investors because it allows investors to evaluate the Company’s operational performance in the same manner as our management and board of directors. Active customers is an operational metric calculated using contribution ex-TAC, a non-GAAP financial measure. For the twelve months ended September 30, 2023, our active customer count was 301, compared to 334 active customers for the twelve months ended September 30, 2022.</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Non-GAAP Operating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charges and transaction expenses. Non-GAAP operating expenses is a key component in calculating adjusted EBITDA, which is one of the measures we use to provide our quarterly and annual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total operating expenses to non-GAAP operating expenses for the three and nine months ended September 30, 2023 and 2022:</w:t>
      </w:r>
    </w:p>
    <w:tbl>
      <w:tblPr>
        <w:tblW w:w="7935" w:type="dxa"/>
        <w:jc w:val="center"/>
        <w:tblInd w:w="0" w:type="dxa"/>
        <w:tblLayout w:type="fixed"/>
        <w:tblCellMar>
          <w:top w:w="28" w:type="dxa"/>
          <w:left w:w="28" w:type="dxa"/>
          <w:bottom w:w="28" w:type="dxa"/>
          <w:right w:w="28" w:type="dxa"/>
        </w:tblCellMar>
      </w:tblPr>
      <w:tblGrid>
        <w:gridCol w:w="957"/>
        <w:gridCol w:w="839"/>
        <w:gridCol w:w="84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Traffic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(1)Restructuring includes adjustments to severance charges initially recognized during the prior year.</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Adjusted EBITDA and adjusted EBITDA as a percentage of contribution ex-TAC</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charges, transaction expenses and the extinguishment of debt. Net income (loss) is the most comparable GAAP financial measure. Adjusted EBITDA as a percentage of contribution ex-TAC is a non-GAAP financial measure we calculate by dividing adjusted EBITDA by contribution ex-TAC for the period or periods presented.</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 xml:space="preserve">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adjusted EBITDA does not reflect changes in, or cash requirements for, our working capital needs or the potentially dilutive impact of stock-based compensation.</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Because of these and other potential limitations, you should consider our non-GAAP financial measures only as supplemental to other GAAP-based financial performance measures, including revenue, net loss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net loss to adjusted EBITDA for the three and nine months ended September 30, 2023 and 2022:</w:t>
      </w:r>
    </w:p>
    <w:tbl>
      <w:tblPr>
        <w:tblW w:w="7905" w:type="dxa"/>
        <w:jc w:val="center"/>
        <w:tblInd w:w="0" w:type="dxa"/>
        <w:tblLayout w:type="fixed"/>
        <w:tblCellMar>
          <w:top w:w="28" w:type="dxa"/>
          <w:left w:w="28" w:type="dxa"/>
          <w:bottom w:w="28" w:type="dxa"/>
          <w:right w:w="28" w:type="dxa"/>
        </w:tblCellMar>
      </w:tblPr>
      <w:tblGrid>
        <w:gridCol w:w="941"/>
        <w:gridCol w:w="822"/>
        <w:gridCol w:w="832"/>
        <w:gridCol w:w="211"/>
        <w:gridCol w:w="61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(1)Restructuring includes adjustments to severance charges initially recognized during the prior year.</w:t>
      </w:r>
    </w:p>
    <w:p>
      <w:pPr>
        <w:pStyle w:val="TextBody"/>
        <w:bidi w:val="0"/>
        <w:spacing w:lineRule="auto" w:line="288" w:before="24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the calculation of net loss as a percentage of gross profit and the calculation of adjusted EBITDA as a percentage of contribution ex-TAC for the three and nine months ended September 30, 2023 and 2022:</w:t>
      </w:r>
    </w:p>
    <w:tbl>
      <w:tblPr>
        <w:tblW w:w="10205" w:type="dxa"/>
        <w:jc w:val="center"/>
        <w:tblInd w:w="0" w:type="dxa"/>
        <w:tblLayout w:type="fixed"/>
        <w:tblCellMar>
          <w:top w:w="28" w:type="dxa"/>
          <w:left w:w="28" w:type="dxa"/>
          <w:bottom w:w="28" w:type="dxa"/>
          <w:right w:w="28" w:type="dxa"/>
        </w:tblCellMar>
      </w:tblPr>
      <w:tblGrid>
        <w:gridCol w:w="1525"/>
        <w:gridCol w:w="1302"/>
        <w:gridCol w:w="1306"/>
        <w:gridCol w:w="211"/>
        <w:gridCol w:w="721"/>
        <w:gridCol w:w="271"/>
        <w:gridCol w:w="109"/>
        <w:gridCol w:w="109"/>
        <w:gridCol w:w="109"/>
        <w:gridCol w:w="211"/>
        <w:gridCol w:w="784"/>
        <w:gridCol w:w="271"/>
        <w:gridCol w:w="109"/>
        <w:gridCol w:w="109"/>
        <w:gridCol w:w="109"/>
        <w:gridCol w:w="211"/>
        <w:gridCol w:w="826"/>
        <w:gridCol w:w="271"/>
        <w:gridCol w:w="109"/>
        <w:gridCol w:w="109"/>
        <w:gridCol w:w="109"/>
        <w:gridCol w:w="211"/>
        <w:gridCol w:w="784"/>
        <w:gridCol w:w="319"/>
      </w:tblGrid>
      <w:tr>
        <w:trPr/>
        <w:tc>
          <w:tcPr>
            <w:tcW w:w="152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as a percentage of gross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Contribution ex-TAC</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as a percentage of contribution ex-TAC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360"/>
        <w:jc w:val="left"/>
        <w:rPr/>
      </w:pPr>
      <w:r>
        <w:rPr>
          <w:rFonts w:ascii="Times New Roman;sans-serif" w:hAnsi="Times New Roman;sans-serif"/>
          <w:b w:val="false"/>
          <w:color w:val="231F20"/>
          <w:sz w:val="20"/>
        </w:rPr>
        <w:t>(1)For a reconciliation of contribution ex-TAC to the most directly comparable financial measure calculated in accordance with GAAP, see “</w:t>
      </w:r>
      <w:r>
        <w:rPr>
          <w:color w:val="231F20"/>
        </w:rPr>
        <w:t>—</w:t>
      </w:r>
      <w:r>
        <w:rPr>
          <w:rFonts w:ascii="Times New Roman;sans-serif" w:hAnsi="Times New Roman;sans-serif"/>
          <w:b w:val="false"/>
          <w:i/>
          <w:color w:val="231F20"/>
          <w:sz w:val="20"/>
        </w:rPr>
        <w:t>Contribution ex-TAC</w:t>
      </w:r>
      <w:r>
        <w:rPr>
          <w:rFonts w:ascii="Times New Roman;sans-serif" w:hAnsi="Times New Roman;sans-serif"/>
          <w:b w:val="false"/>
          <w:color w:val="231F20"/>
          <w:sz w:val="20"/>
        </w:rPr>
        <w:t>.”</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Non-GAAP net income (loss)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Non-GAAP net income (loss) is a non-GAAP financial measure defined by us as net income (loss) adjusted to eliminate the impact of stock-based compensation and certain other items that are not related to our core operations, such as restructuring charges, transaction expenses and the extinguishment of debt, as well as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The following table presents a reconciliation of net loss to non-GAAP net income (loss) for the </w:t>
      </w:r>
      <w:r>
        <w:rPr>
          <w:rFonts w:ascii="Times New Roman;sans-serif" w:hAnsi="Times New Roman;sans-serif"/>
          <w:b w:val="false"/>
          <w:color w:val="231F20"/>
          <w:sz w:val="20"/>
        </w:rPr>
        <w:t>three and nine months ended September 30, 2023 and 2022:</w:t>
      </w:r>
    </w:p>
    <w:tbl>
      <w:tblPr>
        <w:tblW w:w="10205" w:type="dxa"/>
        <w:jc w:val="center"/>
        <w:tblInd w:w="0" w:type="dxa"/>
        <w:tblLayout w:type="fixed"/>
        <w:tblCellMar>
          <w:top w:w="28" w:type="dxa"/>
          <w:left w:w="28" w:type="dxa"/>
          <w:bottom w:w="28" w:type="dxa"/>
          <w:right w:w="28" w:type="dxa"/>
        </w:tblCellMar>
      </w:tblPr>
      <w:tblGrid>
        <w:gridCol w:w="1797"/>
        <w:gridCol w:w="1572"/>
        <w:gridCol w:w="1600"/>
        <w:gridCol w:w="211"/>
        <w:gridCol w:w="616"/>
        <w:gridCol w:w="109"/>
        <w:gridCol w:w="109"/>
        <w:gridCol w:w="109"/>
        <w:gridCol w:w="109"/>
        <w:gridCol w:w="211"/>
        <w:gridCol w:w="771"/>
        <w:gridCol w:w="109"/>
        <w:gridCol w:w="109"/>
        <w:gridCol w:w="109"/>
        <w:gridCol w:w="109"/>
        <w:gridCol w:w="211"/>
        <w:gridCol w:w="771"/>
        <w:gridCol w:w="109"/>
        <w:gridCol w:w="109"/>
        <w:gridCol w:w="109"/>
        <w:gridCol w:w="109"/>
        <w:gridCol w:w="211"/>
        <w:gridCol w:w="771"/>
        <w:gridCol w:w="155"/>
      </w:tblGrid>
      <w:tr>
        <w:trPr/>
        <w:tc>
          <w:tcPr>
            <w:tcW w:w="179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 back: Restructuring</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Income tax benefit (expense) related to Viant Technology Inc.’s share of adjustments</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(17,154)</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(1)Restructuring includes adjustments to severance charges initially recognized during the prior year.</w:t>
      </w:r>
    </w:p>
    <w:p>
      <w:pPr>
        <w:pStyle w:val="TextBody"/>
        <w:bidi w:val="0"/>
        <w:spacing w:lineRule="auto" w:line="288" w:before="12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(2)The estimated income tax effect of our share of non-GAAP reconciling items for the three and nine months ended September 30, 2023 and 2022 are calculated using assumed blended tax rates of 25% and 24%, respectively, which represent our expected corporate tax rates, excluding discrete and non-recurring tax items.</w:t>
      </w:r>
    </w:p>
    <w:p>
      <w:pPr>
        <w:pStyle w:val="TextBody"/>
        <w:bidi w:val="0"/>
        <w:spacing w:lineRule="auto" w:line="288" w:before="240" w:after="283"/>
        <w:jc w:val="left"/>
        <w:rPr/>
      </w:pPr>
      <w:r>
        <w:rPr>
          <w:rFonts w:ascii="Times New Roman;sans-serif" w:hAnsi="Times New Roman;sans-serif"/>
          <w:b w:val="false"/>
          <w:i/>
          <w:color w:val="231F20"/>
          <w:sz w:val="20"/>
        </w:rPr>
        <w:t>Non-GAAP earnings (loss) per share of Class A common stock</w:t>
      </w:r>
      <w:r>
        <w:rPr>
          <w:color w:val="000000"/>
        </w:rPr>
        <w:t>—</w:t>
      </w:r>
      <w:r>
        <w:rPr>
          <w:rFonts w:ascii="Times New Roman;sans-serif" w:hAnsi="Times New Roman;sans-serif"/>
          <w:b w:val="false"/>
          <w:i/>
          <w:color w:val="000000"/>
          <w:sz w:val="20"/>
        </w:rPr>
        <w:t>basic and diluted</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charges, transaction expenses and the extinguishment of debt, as well as the income tax effect of such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gain on extinguishment of debt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in understanding and evaluating our results of operations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 potential limitations, you should consider our non-GAAP measures only as supplemental to other GAAP-based financial performance measures, including earnings (loss) per share of Class A common stock—basic and diluted.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Basic non-GAAP earnings (loss) per share of Class A common stock is calculated by dividing the non-GAAP net income (loss) attributable to Class A common stockholders by the number of weighted-average shares of Class A common stock outstanding.</w:t>
      </w:r>
      <w:r>
        <w:rPr>
          <w:color w:val="231F20"/>
        </w:rPr>
        <w:t xml:space="preserve"> </w:t>
      </w:r>
      <w:r>
        <w:rPr>
          <w:rFonts w:ascii="Times New Roman;sans-serif" w:hAnsi="Times New Roman;sans-serif"/>
          <w:b w:val="false"/>
          <w:color w:val="231F20"/>
          <w:sz w:val="20"/>
        </w:rPr>
        <w:t>Shares of our Class B common stock do not share in our earnings or losses and are therefore not participating securities. As such, separate presentation of basic and diluted non-GAAP earnings (loss) of Class B common stock under the two-class method has not been presented.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Diluted non-GAAP earnings (loss) per share of Class A common stock adjusts the basic non-GAAP earnings (loss) per share for the potential dilutive impact of common shares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w:t>
      </w:r>
      <w:r>
        <w:rPr>
          <w:rFonts w:ascii="Times New Roman;sans-serif" w:hAnsi="Times New Roman;sans-serif"/>
          <w:b w:val="false"/>
          <w:color w:val="231F20"/>
          <w:sz w:val="20"/>
        </w:rPr>
        <w:t>three and nine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231F20"/>
          <w:sz w:val="20"/>
        </w:rPr>
        <w:t>September 30, 2023</w:t>
      </w:r>
      <w:r>
        <w:rPr>
          <w:rFonts w:ascii="Times New Roman;sans-serif" w:hAnsi="Times New Roman;sans-serif"/>
          <w:b w:val="false"/>
          <w:color w:val="000000"/>
          <w:sz w:val="20"/>
        </w:rPr>
        <w:t xml:space="preserve">, Class B common stock and nonqualified stock options have been excluded from the computation of diluted earnings (loss) per share of Class A common stock because the effect would have been anti-dilutive under the if-converted and treasury stock method, respectively. For the </w:t>
      </w:r>
      <w:r>
        <w:rPr>
          <w:rFonts w:ascii="Times New Roman;sans-serif" w:hAnsi="Times New Roman;sans-serif"/>
          <w:b w:val="false"/>
          <w:color w:val="231F20"/>
          <w:sz w:val="20"/>
        </w:rPr>
        <w:t>three and nine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231F20"/>
          <w:sz w:val="20"/>
        </w:rPr>
        <w:t>September 30, 2022</w:t>
      </w:r>
      <w:r>
        <w:rPr>
          <w:rFonts w:ascii="Times New Roman;sans-serif" w:hAnsi="Times New Roman;sans-serif"/>
          <w:b w:val="false"/>
          <w:color w:val="000000"/>
          <w:sz w:val="20"/>
        </w:rPr>
        <w:t>, Class B common stock, RSUs, and nonqualified stock options have been excluded from the computation of diluted earnings (loss) per share of Class A common stock because the effect would have been anti-dilutive under the if-converted and treasury stock method,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tables present the reconciliation of earnings (loss) per share of Class A common stock—basic and diluted to non-GAAP earnings (loss) per share of Class A common stock—basic and diluted for the three and nine months ended September 30, 2023 and 2022:</w:t>
      </w:r>
    </w:p>
    <w:tbl>
      <w:tblPr>
        <w:tblW w:w="10205" w:type="dxa"/>
        <w:jc w:val="center"/>
        <w:tblInd w:w="0" w:type="dxa"/>
        <w:tblLayout w:type="fixed"/>
        <w:tblCellMar>
          <w:top w:w="28" w:type="dxa"/>
          <w:left w:w="28" w:type="dxa"/>
          <w:bottom w:w="28" w:type="dxa"/>
          <w:right w:w="28" w:type="dxa"/>
        </w:tblCellMar>
      </w:tblPr>
      <w:tblGrid>
        <w:gridCol w:w="1118"/>
        <w:gridCol w:w="708"/>
        <w:gridCol w:w="716"/>
        <w:gridCol w:w="211"/>
        <w:gridCol w:w="531"/>
        <w:gridCol w:w="109"/>
        <w:gridCol w:w="109"/>
        <w:gridCol w:w="109"/>
        <w:gridCol w:w="109"/>
        <w:gridCol w:w="226"/>
        <w:gridCol w:w="662"/>
        <w:gridCol w:w="118"/>
        <w:gridCol w:w="109"/>
        <w:gridCol w:w="109"/>
        <w:gridCol w:w="109"/>
        <w:gridCol w:w="220"/>
        <w:gridCol w:w="643"/>
        <w:gridCol w:w="114"/>
        <w:gridCol w:w="109"/>
        <w:gridCol w:w="109"/>
        <w:gridCol w:w="109"/>
        <w:gridCol w:w="211"/>
        <w:gridCol w:w="741"/>
        <w:gridCol w:w="109"/>
        <w:gridCol w:w="109"/>
        <w:gridCol w:w="109"/>
        <w:gridCol w:w="109"/>
        <w:gridCol w:w="226"/>
        <w:gridCol w:w="662"/>
        <w:gridCol w:w="118"/>
        <w:gridCol w:w="109"/>
        <w:gridCol w:w="109"/>
        <w:gridCol w:w="109"/>
        <w:gridCol w:w="213"/>
        <w:gridCol w:w="752"/>
        <w:gridCol w:w="162"/>
      </w:tblGrid>
      <w:tr>
        <w:trPr/>
        <w:tc>
          <w:tcPr>
            <w:tcW w:w="111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September 30, 2022</w:t>
            </w:r>
          </w:p>
        </w:tc>
      </w:tr>
      <w:tr>
        <w:trPr/>
        <w:tc>
          <w:tcPr>
            <w:tcW w:w="2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Stock-based compensation</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Add back: Restructuring</w:t>
            </w:r>
            <w:r>
              <w:rPr>
                <w:rFonts w:ascii="Times New Roman;sans-serif" w:hAnsi="Times New Roman;sans-serif"/>
                <w:b w:val="false"/>
                <w:color w:val="000000"/>
                <w:sz w:val="13"/>
              </w:rPr>
              <w:t>(1)</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Income tax benefit (expense) related to Viant Technology Inc.'s share of adjustments</w:t>
            </w:r>
            <w:r>
              <w:rPr>
                <w:rFonts w:ascii="Times New Roman;sans-serif" w:hAnsi="Times New Roman;sans-serif"/>
                <w:b w:val="false"/>
                <w:color w:val="000000"/>
                <w:sz w:val="13"/>
              </w:rPr>
              <w:t>(2)</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Less: Net income (loss) attributable to noncontrolling interests</w:t>
            </w:r>
            <w:r>
              <w:rPr>
                <w:rFonts w:ascii="Times New Roman;sans-serif" w:hAnsi="Times New Roman;sans-serif"/>
                <w:b w:val="false"/>
                <w:color w:val="000000"/>
                <w:sz w:val="13"/>
              </w:rPr>
              <w:t>(3)</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Inc.—basic</w:t>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Reallocation of net loss attributable to noncontrolling interest from the assumed exchange of RSUs for Class A common stock</w:t>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from the assumed exchange of RSUs for Class A common stock</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8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—basic</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—diluted</w:t>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earnings (loss) per share of Class A common stock—diluted:</w:t>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earnings (loss) per share of Class A common stock—diluted</w:t>
            </w:r>
          </w:p>
        </w:tc>
        <w:tc>
          <w:tcPr>
            <w:tcW w:w="7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(1)Restructuring includes adjustments to severance charges initially recognized during the prior year.</w:t>
      </w:r>
    </w:p>
    <w:p>
      <w:pPr>
        <w:pStyle w:val="TextBody"/>
        <w:bidi w:val="0"/>
        <w:spacing w:lineRule="auto" w:line="288" w:before="18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(2)The estimated income tax effect of our share of non-GAAP reconciling items for the three months ended September 30, 2023 and 2022 are calculated using assumed blended tax rates of 25% and 24%, respectively, which represent our expected corporate tax rates, excluding discrete and non-recurring tax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(3)The adjustment to net income (loss) attributable to noncontrolling interests represents stock-based compensation and restructuring charges attributed to the noncontrolling interests outstanding during the period.</w:t>
      </w:r>
    </w:p>
    <w:tbl>
      <w:tblPr>
        <w:tblW w:w="10205" w:type="dxa"/>
        <w:jc w:val="center"/>
        <w:tblInd w:w="0" w:type="dxa"/>
        <w:tblLayout w:type="fixed"/>
        <w:tblCellMar>
          <w:top w:w="28" w:type="dxa"/>
          <w:left w:w="28" w:type="dxa"/>
          <w:bottom w:w="28" w:type="dxa"/>
          <w:right w:w="28" w:type="dxa"/>
        </w:tblCellMar>
      </w:tblPr>
      <w:tblGrid>
        <w:gridCol w:w="1019"/>
        <w:gridCol w:w="612"/>
        <w:gridCol w:w="619"/>
        <w:gridCol w:w="211"/>
        <w:gridCol w:w="740"/>
        <w:gridCol w:w="109"/>
        <w:gridCol w:w="109"/>
        <w:gridCol w:w="109"/>
        <w:gridCol w:w="109"/>
        <w:gridCol w:w="226"/>
        <w:gridCol w:w="662"/>
        <w:gridCol w:w="118"/>
        <w:gridCol w:w="109"/>
        <w:gridCol w:w="109"/>
        <w:gridCol w:w="109"/>
        <w:gridCol w:w="213"/>
        <w:gridCol w:w="747"/>
        <w:gridCol w:w="110"/>
        <w:gridCol w:w="109"/>
        <w:gridCol w:w="109"/>
        <w:gridCol w:w="109"/>
        <w:gridCol w:w="211"/>
        <w:gridCol w:w="740"/>
        <w:gridCol w:w="109"/>
        <w:gridCol w:w="109"/>
        <w:gridCol w:w="109"/>
        <w:gridCol w:w="109"/>
        <w:gridCol w:w="226"/>
        <w:gridCol w:w="662"/>
        <w:gridCol w:w="118"/>
        <w:gridCol w:w="109"/>
        <w:gridCol w:w="109"/>
        <w:gridCol w:w="109"/>
        <w:gridCol w:w="212"/>
        <w:gridCol w:w="747"/>
        <w:gridCol w:w="159"/>
      </w:tblGrid>
      <w:tr>
        <w:trPr/>
        <w:tc>
          <w:tcPr>
            <w:tcW w:w="10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 2022</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Stock-based compensation</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Add back: Restructuring</w:t>
            </w:r>
            <w:r>
              <w:rPr>
                <w:rFonts w:ascii="Times New Roman;sans-serif" w:hAnsi="Times New Roman;sans-serif"/>
                <w:b w:val="false"/>
                <w:color w:val="000000"/>
                <w:sz w:val="13"/>
              </w:rPr>
              <w:t>(1)</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Income tax benefit (expense) related to Viant Technology Inc.'s share of adjustments </w:t>
            </w:r>
            <w:r>
              <w:rPr>
                <w:rFonts w:ascii="Times New Roman;sans-serif" w:hAnsi="Times New Roman;sans-serif"/>
                <w:b w:val="false"/>
                <w:color w:val="000000"/>
                <w:sz w:val="13"/>
              </w:rPr>
              <w:t>(2)</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Less: Net income (loss) attributable to noncontrolling interests </w:t>
            </w:r>
            <w:r>
              <w:rPr>
                <w:rFonts w:ascii="Times New Roman;sans-serif" w:hAnsi="Times New Roman;sans-serif"/>
                <w:b w:val="false"/>
                <w:color w:val="000000"/>
                <w:sz w:val="13"/>
              </w:rPr>
              <w:t>(3)</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Inc.—basic</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Reallocation of net loss attributable to noncontrolling interest from the assumed exchange of RSUs for Class A common stock</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from the assumed exchange of RSUs for Class A common stock</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—basic</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—diluted</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earnings (loss) per share of Class A common stock—diluted:</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earnings (loss) per share of Class A common stock—diluted</w:t>
            </w:r>
          </w:p>
        </w:tc>
        <w:tc>
          <w:tcPr>
            <w:tcW w:w="9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(1)Restructuring includes adjustments to severance charges initially recognized during the prior year.</w:t>
      </w:r>
    </w:p>
    <w:p>
      <w:pPr>
        <w:pStyle w:val="TextBody"/>
        <w:bidi w:val="0"/>
        <w:spacing w:lineRule="auto" w:line="288" w:before="12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(2)The estimated income tax effect of our share of non-GAAP reconciling items for the nine months ended September 30, 2023 and 2022 are calculated using assumed blended tax rates of 25% and 24%, respectively, which represent our expected corporate tax rates, excluding discrete and non-recurring tax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(3)The adjustment to net income (loss) attributable to noncontrolling interests represents stock-based compensation and restructuring charges attributed to the noncontrolling interests outstanding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Liquidity and Capital Resources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and cash equivalents of $203.0 million and working capital, consisting of current assets less current liabilities, of $226.8 million, compared to cash and cash equivalents of $206.6 million and working capital of $227.7 million as of December 31,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cash are revenues derived from the programmatic purchase of advertising on our platform and our existing cash and cash equivalents, although we have addressed, and may in the future address, our liquidity needs by utilizing our borrowing capacity under our asset-based revolving credit and security agreement (the “Amended Loan Agreement”) we have with PNC Bank (which was amended in April 2023), obtaining debt financing from other sources or raising additional funds by issuing equity.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are capital expenditures to develop our technology in support of enhancing our platform; purchases of property and equipment in support of our expanding headcount as a result of our growth; the payment of debt obligations used to finance our operations, capital expenditures, platform development and rapid growth; and future minimum payments under our non-cancelable operating leases. We intend to continue investing in critical areas of our business in 2023 to further accelerate demand for our product and growth across the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material cash requirements from non-cancelable contractual obligations with an original duration of over one year included future minimum payments under our non-cancelable operating leases, which we estimate will be approximately $1.3 million for the remainder of 2023, $4.5 million in 2024, $4.4 million in 2025, $4.3 million in 2026, and $4.2 million in 2027, and non-cancelable contractual agreements primarily related to the hosting of our data storage processing, storage, and other computing services, which we estimate will be approximately $3.1 million for the remainder of 2023, $7.0 million in 2024, $5.7 million in 2025, and $1.3 million in 2026.</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2021, in connection with our IPO, we entered into a tax receivable agreement (the “Tax Receivable Agreement”) with Viant Technology LLC, continuing members of Viant Technology LLC (our “pre-IPO owners”) and the TRA Representative (as defined in the Tax Receivable Agreement), as described under Note 10 to our unaudited condensed consolidated financial statements included elsewhere in this Quarterly Report. As of September 30, 2023, we concluded that it was more likely than not that our deferred tax assets subject to the Tax Receivable Agreement would not be realized. Therefore, we currently do not expect to make payments under our Tax Receivable Agreement based on our estimates of future taxable income. As of September 30, 2023, the total unrecorded liability for our Tax Receivable Agreement is approximately $10.3 million.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our subsidiary, Viant Technology LLC, makes cash distributions on a pro rata basis to its members to the extent necessary to cover the members’ tax liabilities with respect to their share of earnings of Viant Technology LLC. These payments are reflected within "Payment of member tax distributions" on the condensed consolidated statements of 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from the Amended Loan Agreement with PNC Bank will be sufficient to meet our cash requirements over the next 12 months. We believe we will meet longer-term expected future cash requirements and obligations beyond the next 12 months through a combination of existing cash and cash equivalents, cash flow from operations, the undrawn availability under our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Quarterly Report.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have any other off-balance sheet arrangements as of September 30, 2023 other than the minimum payments under the operating leases, hosting arrangements and the indemnification agreements described in Note 13—Commitments and Contingencies to our unaudited condensed consolidated financial statements included elsewhere in this Quarterly Report.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with no operations of our own and are dependent on distributions from Viant Technology LLC to pay our taxes and satisfy any current or future cash requirements. Our Amended Loan Agreement with PNC Bank imposes, and any future credit facilities may impose, limitations on our ability and the ability of Viant Technology LLC to pay dividends to third parties.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Revolving Credit Facility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our Amended Loan Agreement with PNC Bank provided us with access to a $75.0 million senior secured revolving credit facility with a maturity date of April 4, 2028 that is collateralized by security interests in substantially all of our assets. As of September 30, 2023, there was no outstanding balance and up to $74.1 million of undrawn availability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Loan Agreement. As of December 31, 2022, there was no outstanding balance and up to $39.6 million of undrawn availability under the Loan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September 30, 2023, we were in compliance with this covenant, and we do not believe this covenant or any other provision in the Amended Loan Agreement will materially impact our liquidity or otherwise restrict our ability to execute on our business plan during or beyond the next 12 months.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For further discussion of our Amended Loan Agreement with PNC Bank, refer to Note 8—Revolving Credit Facility to our unaudited condensed consolidated financial statements included elsewhere in this Quarterly Report</w:t>
      </w:r>
      <w:r>
        <w:rPr>
          <w:rFonts w:ascii="Times New Roman;sans-serif" w:hAnsi="Times New Roman;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nine months ended September 30, 2023 and 2022:</w:t>
      </w:r>
    </w:p>
    <w:tbl>
      <w:tblPr>
        <w:tblW w:w="6938" w:type="dxa"/>
        <w:jc w:val="center"/>
        <w:tblInd w:w="0" w:type="dxa"/>
        <w:tblLayout w:type="fixed"/>
        <w:tblCellMar>
          <w:top w:w="28" w:type="dxa"/>
          <w:left w:w="28" w:type="dxa"/>
          <w:bottom w:w="28" w:type="dxa"/>
          <w:right w:w="28" w:type="dxa"/>
        </w:tblCellMar>
      </w:tblPr>
      <w:tblGrid>
        <w:gridCol w:w="1598"/>
        <w:gridCol w:w="1403"/>
        <w:gridCol w:w="1408"/>
        <w:gridCol w:w="211"/>
        <w:gridCol w:w="721"/>
        <w:gridCol w:w="109"/>
        <w:gridCol w:w="109"/>
        <w:gridCol w:w="109"/>
        <w:gridCol w:w="109"/>
        <w:gridCol w:w="211"/>
        <w:gridCol w:w="796"/>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 Data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231F20"/>
          <w:sz w:val="20"/>
        </w:rPr>
      </w:pPr>
      <w:r>
        <w:rPr>
          <w:rFonts w:ascii="Times New Roman;sans-serif" w:hAnsi="Times New Roman;sans-serif"/>
          <w:b w:val="false"/>
          <w:i/>
          <w:color w:val="231F20"/>
          <w:sz w:val="20"/>
        </w:rPr>
        <w:t>Cash Flows Provided by (Used in) Operating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provided by operating activities for the nine months ended September 30, 2023 was $14.5 million, a net increase of $27.8 million, or 209%, from cash flows used in operating activities for the nine months ended September 30, 2022 of $13.3 million. Cash flows provided by operating activities for the nine months ended September 30, 2023 resulted primarily from:</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a decrease of $13.3 million from net loss;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an increase of $38.6 million due to non-cash add back adjustments to net loss primarily comprised of $24.7 million for stock-based compensation, $10.7 million for depreciation and amortization and $2.9 million of amortization of operating lease assets;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a decrease of $9.6 million from changes in working capital (excluding deferred revenue, other liabilities, and operating lease liabilities), including a net decrease of $3.3 million in accounts receivable, prepaid assets and other assets primarily related to higher sales and timing of customer collections due to seasonal fluctuations as well as a decrease of $6.3 million in accounts payable, accrued liabilities and accrued compensation primarily related to timing of payments;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an increase in deferred revenue of $1.2 million;</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a decrease in operating lease liabilities of </w:t>
      </w:r>
      <w:r>
        <w:rPr>
          <w:rFonts w:ascii="Times New Roman;sans-serif" w:hAnsi="Times New Roman;sans-serif"/>
          <w:b w:val="false"/>
          <w:color w:val="231F20"/>
          <w:sz w:val="20"/>
        </w:rPr>
        <w:t>$2.7</w:t>
      </w:r>
      <w:r>
        <w:rPr>
          <w:color w:val="000000"/>
        </w:rPr>
        <w:t xml:space="preserve"> </w:t>
      </w:r>
      <w:r>
        <w:rPr>
          <w:rFonts w:ascii="Times New Roman;sans-serif" w:hAnsi="Times New Roman;sans-serif"/>
          <w:b w:val="false"/>
          <w:color w:val="000000"/>
          <w:sz w:val="20"/>
        </w:rPr>
        <w:t>million;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 decrease in other liabilities of $0.3 million.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cash used in operating activities of $13.3 million resulted primarily from a net loss of $40.1 million offset by non-cash add back adjustments to net loss of $21.9 million for stock-based compensation, $9.7 million for depreciation and amortization, $2.0 million of amortization of operating lease assets and an increase in net working capital (excluding deferred revenue, operating lease liabilities and other liabilities) of $0.3 million, offset by a decrease in deferred revenue of $6.5 million, a decrease in operating lease liabilities of $1.0 million and a decrease in other liabilities of $0.9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per share data)</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Cash Flows Used in Investing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investing activities have consisted of capital expenditures to develop our technology in support of enhancing our platform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equipment and capitalized software development costs may vary from period-to-period due to the timing of the expansion of our operations, the addition or reduction of headcount and our platform development cycles. As a result of capitalization of stock-based compensation in future periods and the growth of our business, we expect our capital expenditures and our investment activity to continue to increase.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used in investing activities for the nine months ended September 30, 2023 was $9.7 million, a net increase of $3.2 million, or 50%, from cash flows used in investing activities for the nine months ended September 30, 2022 of $6.4 million. The change in cash flows for the nine months ended September 30, 2023 was primarily due to:</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$8.9 million of investments in capitalized software to develop our technology in support of enhancing our platform;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231F20"/>
          <w:sz w:val="20"/>
        </w:rPr>
        <w:t>$0.7 million of purchases of property and equipment.</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During the </w:t>
      </w:r>
      <w:r>
        <w:rPr>
          <w:rFonts w:ascii="Times New Roman;sans-serif" w:hAnsi="Times New Roman;sans-serif"/>
          <w:b w:val="false"/>
          <w:color w:val="000000"/>
          <w:sz w:val="20"/>
        </w:rPr>
        <w:t>nine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September 30, 2022</w:t>
      </w:r>
      <w:r>
        <w:rPr>
          <w:rFonts w:ascii="Times New Roman;sans-serif" w:hAnsi="Times New Roman;sans-serif"/>
          <w:b w:val="false"/>
          <w:color w:val="231F20"/>
          <w:sz w:val="20"/>
        </w:rPr>
        <w:t xml:space="preserve">, cash used in investing activities of </w:t>
      </w:r>
      <w:r>
        <w:rPr>
          <w:rFonts w:ascii="Times New Roman;sans-serif" w:hAnsi="Times New Roman;sans-serif"/>
          <w:b w:val="false"/>
          <w:color w:val="000000"/>
          <w:sz w:val="20"/>
        </w:rPr>
        <w:t>$6.4</w:t>
      </w:r>
      <w:r>
        <w:rPr>
          <w:color w:val="231F20"/>
        </w:rPr>
        <w:t xml:space="preserve"> </w:t>
      </w:r>
      <w:r>
        <w:rPr>
          <w:rFonts w:ascii="Times New Roman;sans-serif" w:hAnsi="Times New Roman;sans-serif"/>
          <w:b w:val="false"/>
          <w:color w:val="231F20"/>
          <w:sz w:val="20"/>
        </w:rPr>
        <w:t>million resulted primarily from investments in capitalized software development costs as well as purchases of property and equipment.</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Cash Flows Used In Financing Activities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Our financing activities have consisted primarily of proceeds from borrowings and repayments of our debt, issuances of our equity and payments of member distributions in accordance with their assumed tax liabilities. Net cash provided by or used in financing activities has been and will be used to finance our operations, capital expenditures, platform development and growth.</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used in financing activities for the nine months ended September 30, 2023 was $8.4 million, which consisted of payments for member tax distributions under the TRA and taxes paid related to the net share settlement of equity awards. </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During the </w:t>
      </w:r>
      <w:r>
        <w:rPr>
          <w:rFonts w:ascii="Times New Roman;sans-serif" w:hAnsi="Times New Roman;sans-serif"/>
          <w:b w:val="false"/>
          <w:color w:val="000000"/>
          <w:sz w:val="20"/>
        </w:rPr>
        <w:t>nine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September 30, 2022, cash flows used in financing activities of $19.1 million resulted primarily from the $17.5 million repayment of our revolving credit facility and $1.6 million of taxes paid related to the net share settlement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Critical Accounting Policies and Estimates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unaudited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internal use software and the assumptions used in the calculation of our expected loss rate used to determine our credit loss reserve have the greatest potential impact on our condensed consolidated financial statements. Therefore, we consider these to be our critical accounting policies and estimates.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the date of our Annual Report on Form 10-K for the year ended December 31, 2022, there have been no material changes in our critical accounting policies and estimates disclosed in Part II, 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Recently Issued Accounting Pronouncements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For information regarding recently issued accounting pronouncements, see </w:t>
      </w:r>
      <w:r>
        <w:rPr>
          <w:rFonts w:ascii="Times New Roman;sans-serif" w:hAnsi="Times New Roman;sans-serif"/>
          <w:b w:val="false"/>
          <w:color w:val="000000"/>
          <w:sz w:val="20"/>
        </w:rPr>
        <w:t>Note 2—Basis of Presentation and Summary of Significant Accounting Policies</w:t>
      </w:r>
      <w:r>
        <w:rPr>
          <w:color w:val="231F20"/>
        </w:rPr>
        <w:t xml:space="preserve"> </w:t>
      </w:r>
      <w:r>
        <w:rPr>
          <w:rFonts w:ascii="Times New Roman;sans-serif" w:hAnsi="Times New Roman;sans-serif"/>
          <w:b w:val="false"/>
          <w:color w:val="231F20"/>
          <w:sz w:val="20"/>
        </w:rPr>
        <w:t>to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there have been no material changes in our exposure to market risk. For a discussion of our exposure to market risk, see Part II, Item 7A “Quantitative and Qualitative Disclosures About Market Risk” of our Annual Report on Form 10-K for the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during the quarter ended September 30, 2023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Limitations on the Effectiveness of Disclosure Controls and Procedures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Investing in our Class A common stock involves a high degree of risk. You should carefully consider the following risks and uncertainties described below, together with all other information contained in this Quarterly Report and in our other public filings, including our unaudited condensed consolidated financial statements and the related notes included elsewhere in this Quarterly Report.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w:t>
      </w:r>
      <w:r>
        <w:rPr>
          <w:color w:val="000000"/>
        </w:rPr>
        <w:t xml:space="preserve"> </w:t>
      </w:r>
      <w:r>
        <w:rPr>
          <w:rFonts w:ascii="Times New Roman;sans-serif" w:hAnsi="Times New Roman;sans-serif"/>
          <w:b w:val="false"/>
          <w:i/>
          <w:color w:val="000000"/>
          <w:sz w:val="20"/>
        </w:rPr>
        <w:t>of your investment.</w:t>
      </w: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Our business is subject to numerous risks and uncertainties, including those described in the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section of this Quarterly Report. You should carefully consider these risks and uncertainties when investing in our Class A common stock. Some of the principal risks and uncertainties include the following: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success and revenue growth are dependent on adding new customers, effectively educating and training our existing customers on how to make full use of our platform and increasing usage of our platform by our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not realize the expected benefits of an industry shift away from cookie-based consumer tracking as such shift may not occur as rapidly as we expect or may not be realized at all;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fail to innovate and make the right investment decisions in our offerings and platform, we may not attract and retain customers and our revenue and results of operations may decline;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market for programmatic advertising is evolving. If this market develops slower or differently than we expect, our business, operating results and financial condition would be adversely affected;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macroeconomic conditions and geopolitical events, such as inflation, rising interest rates, and other adverse market events, have had, and could in the future have, an adverse impact on our business, operating results and financial condition;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our access to advertising inventory is diminished or fails to grow, our revenue could decline and our growth could be impeded;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our access to people-based data is diminished, the effectiveness of our platform would be decreased, which could harm our operating results and financial condition;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We are subject to stringent and changing obligations related to data privacy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and revenue declines, increase the cost of data, reduce the availability of data, reduce our ability to utilize or disclose data, adversely affect the demand for our products and services, or have other adverse business consequences;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significant inadvertent disclosure or breach of our information technology systems or data, or of the security of our or our customers’, suppliers’, or other third parties’ systems upon which we rely could be detrimental to our business, reputation and results of operations;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proprietary rights may be difficult to enforce, which could enable others to copy or use aspects of our technology without compensating us, thereby eroding our competitive advantages and harming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The market price of our Class A common stock has been and may continue to be volatile or may decline regardless of our operating performance;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a “controlled company” within the meaning of the listing standards of the Nasdaq Global Select Market and, as a result, qualify for, and rely on, exemptions from certain corporate governance requirements.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success and revenue growth are dependent on adding new customers, effectively educating and training our existing customers on how to make full use of our platform and increasing usage of our platform by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is dependent on regularly adding new customers and our ability to increase our customers’ usage of our platform, continuously enhance and improve our offerings and platform, build our brand, scale our technology capabilities, add functionality to and improve the performance of our demand side platform ("DSP"), and address technological and industry advancements, including the use of artificial intelligence (“AI”).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capabilities, we may not be successful at educating and training customers, particularly our newer customers, on how to use our platform, in particular our advanced reporting tools,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realize the expected benefits of an industry shift away from cookie-based consumer tracking as such shift may not occur as rapidly as we expect or may not be realized at all.</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benefit as compared to others in our industry from marketers reducing their reliance on vendors and advertising technology platforms that utilize third-party cookies for tracking. However, the shift away from cookie-based consumer tracking may not happen as rapidly as we expect and such shift may not occur at all. For example, in July 2022, Google announced that its previously announced timeline of blocking third-party cookies by 2022 would be delayed until the second half of 2024. Additionally, even if the shift away from cookie-based consumer tracking does occur,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innovate and make the right investment decisions in our offerings and platform, we may not attract and retain customers and our revenue and results of operations may decline.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acceptance. Without the timely introduction of new products, services and enhancements, including those leveraging artificial intelligence and machine learning, our offerings could become technologically or commercially obsolete over time, in which case our revenue and operating results would suffer. In addition, such new products, services, or enhancement may create new or exacerbate existing, technological, security, legal and other challenges, could cause unintended consequences, and might not perform as intended. If new or existing competitors have more attractive offerings, we may lose customers or customers may decrease their use of our platform. New customer demands, superior competitive offerings or new industry standards could require us to make unanticipated and costly changes to our platform or business model.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for programmatic advertising is evolving. If this market develops slower or differently than we expect, our business, operating results and financial condition would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the market for programmatic advertising across most advertising channels, including connected TV, linear TV, in-game, streaming audio and digital billboard channels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connected TV offering may not continue. Furthermore, if our channel mix changes due to a shift in customer demand, such as customers shifting their usage more quickly or more extensively than expected to channels in which we have relatively less functionality, features or inventory, such as linear TV, then demand for our platform could decrease, and our business, financial condition and results of operations could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amount of our revenue comes from advertising agencies. We had 301 active customers for the twelve months ended September 30, 2023, consisting primarily of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Often, we enter into separate contracts and billing relationships with the individual agencies and account for them as separate customers. However, some holding companies for these agencies may choose to exert control over the individual agencies in the future. If so, any loss of relationships with such holding companies and, consequently, of their agencies, local branches or divisions, as customers could significantly harm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we risk losing business from the marketers represented by that agency.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If a significant number of marketers and their agencies begin to utilize competing platforms for the administration of their advertising campaigns,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effects of macroeconomic conditions and geopolitical events, such as inflation, rising interest rates and other adverse market events, have had, and could in the future have, an adverse impact on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operations have been and could in the future be adversely affected by macroeconomic conditions and geopolitical events, such as bank failures, rising interest rates, inflationary pressures, labor shortages, shortages of goods and services, supply chain constraints, pandemics,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bank failures, inflation and monetary supply shifts, labor shortages, supply shortages, tightening of credit markets, pandemics,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may be adversely impacted if the business or financial condition of our customers and marketers is negatively affected by macroeconomic conditions and geopolitical events.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 </w:t>
      </w:r>
    </w:p>
    <w:p>
      <w:pPr>
        <w:pStyle w:val="TextBody"/>
        <w:bidi w:val="0"/>
        <w:spacing w:lineRule="auto" w:line="288" w:before="240" w:after="283"/>
        <w:jc w:val="left"/>
        <w:rPr/>
      </w:pPr>
      <w:r>
        <w:rPr>
          <w:rFonts w:ascii="Times New Roman;sans-serif" w:hAnsi="Times New Roman;sans-serif"/>
          <w:b/>
          <w:i/>
          <w:color w:val="000000"/>
          <w:sz w:val="20"/>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w:t>
      </w:r>
      <w:r>
        <w:rPr>
          <w:color w:val="000000"/>
        </w:rPr>
        <w:t xml:space="preserve"> </w:t>
      </w:r>
      <w:r>
        <w:rPr>
          <w:rFonts w:ascii="Times New Roman;sans-serif" w:hAnsi="Times New Roman;sans-serif"/>
          <w:b/>
          <w:i/>
          <w:color w:val="000000"/>
          <w:sz w:val="20"/>
        </w:rPr>
        <w:t>or maintain our current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advertising campaigns, our ability to retain our existing customers could suffer and our reputation with existing or potential customers could be harmed, which would negatively impact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payment-related risks and if our customers do not pay, or dispute their invoices, our business, operating results and financial condition may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Due to this potential imbalance in our collections and payments, we may rely on our credit facility to partially or completely fund our working capital requirements. As we continue to grow, our business may not generate sufficient cash flow from operations and future borrowings may not be available to us under the credit facility in an amount sufficient to fund our working capital needs. If our cash flows and credit facility borrowings are insufficient to fund our working capital requirements,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access to advertising inventory is diminished or fails to grow, our revenue could decline and our growth could be impeded.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on consistently adding valued inventory in a cost-effective manner. If we are unable to maintain a consistent supply of inventory for any reason, customer retention and loyalty and our operating results and financial condition could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access to people-based data is diminished, the effectiveness of our platform would be decreased, which could harm our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Much of the data that we use is obtained through integrations with third parties. We are dependent upon our ability to obtain necessary data licenses on commercially reasonable terms. We could suffer material adverse consequences if we were unable to obtain data through our integrations with third parties, including inventory and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we could terminate relationships with our third party partners, including inventory or data suppliers, if they fail to adhere to our data quality and privacy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Laws in the United States (including the California Consumer Privacy Act of 2018 (“CCPA”), as amended by the California Privacy Rights Act of 2020 (“CPRA”)) and other jurisdictions such as Europe (including the General Data Protection Regulation and European Union Directive 2002/58/EC (“ePrivacy Directive”)) and increased regulatory activity has focused on third-party data suppliers. These laws pose additional and material compliance risks to such suppliers, and they may not be able to comply with such laws, which would limit our ability to obtain data that is necessary to operate our core business. For example, some data suppliers are required to register as data brokers under California and Vermont privacy laws, file reports with regulators and expose themselves to increased scrutiny. In addition, we may face compliance risks and limitations on our ability to use certain data provided by our third-party suppliers if those suppliers have not complied with applicable privacy laws, provided appropriate notice to data subjects, obtained necessary consents, or established a legal basis for the transfer and processing of the data by 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Google has announced that it will introduce similar changes that will provide users with the ability to opt-out of tracking across devices using the Android operating system. Individuals may increasingly resist the collection, use, and sharing of personal data to deliver targeted advertising. Individuals are increasingly becoming aware of options related to consent, “do not track” mechanisms, and “ad-blocking” software, any of which could materially impact our and our data supplier’s ability to collect, use and disclose personal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“—Risks Related to Data Privacy” for additional discussion of the laws and regulations governing the collection of data to which we are or may become subject and about the risks to our business associated with such laws and regulations.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were to lose access to significant amounts of the data that enables our people-based framework,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do not effectively grow and train our sales and support teams, we may be unable to add new customers or increase usage of our platform by our existing customers and our business will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initiatives to reduce our operating expenses and the associated workforce reduction announced on December 9, 2022 could disrupt our business, may not result in our anticipated savings, and could result in total costs and expenses that are greater than expected.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recent adverse economic trends, such as inflationary pressures, rising interest rates, and other macroeconomic and geopolitical events, we have initiated a cost reduction initiative aimed at reducing our operating expenses and sharpening our focus on key growth priorities in light of the current macroeconomic environment. As part of that initiative, we announced a reduction in force involving approximately 13% of our then-current workforce on December 9, 2022. Our workforce reduction could yield unanticipated consequences, such as attrition beyond planned staff reductions, increased difficulties in our day-to-day operations and reduced employee morale. If employees who were not affected by the reductions in force seek alternative employment, this could result in us seeking contractor support at unplanned additional expense or harm our productivity. Our workforce reductions could also harm our ability to attract and retain qualified management, sales and operational personnel who are critical to our business. Further, we may incur additional expenses not currently contemplated due to events associated with the reduction in force, which could result in losses in future periods. We also may not realize, in full or in part, the anticipated benefits and savings from the reduction in force due to unforeseen difficulties, delays or unexpected costs. Our ongoing and future initiatives to re-balance our cost structure may be disruptive to our operations and could result in increased costs in the short-term before significant benefits are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are unable to maintain it, whether as a result of corporate growth or reduction in force, our business, operating results and financial condition could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had 332 employees as of September 30, 2023.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allow our customers and suppliers to utilize application programming interfaces (“APIs”) with our platform, which could result in outages or security breaches and negatively impact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Operational and performance issues with our platform, whether actual or perceived, including a failure to respond to technological changes or to upgrade our technology systems, may adversely affect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depend upon the sustained and uninterrupted performance of our platform to manage our inventory supply; acquire inventory for each campaign; collect, process and interpret data; and optimize campaign performance in real time and provide billing information to our financial systems. If our platform cannot scale to meet demand, if there are errors in our execution of any of these functions on our platform, or if we experience outages, then our business may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is complex and multifaceted, and operational and performance issues could arise both from the platform itself or from outside factors, such as cyberattacks or other third-party attacks. Errors, failures, vulnerabilities or bugs have been found in the past, and may be found in 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could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Operational and performance issues with our platform could also result in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problems resulting from such issues could require significant expenditures of capital and other resources and could cause interruptions, delays or the cessation of our business, any of which may adversely affect our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dependent on the continued availability of third-party hosting and transmission services. Operational issues with, or changes to the costs of, our third-party data center providers could harm our business, reputation or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and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the systems of our third-party providers could result in interruptions to our platform. Despite precautions taken at our data centers, the occurrence of spikes in usage volume, a natural disaster, such as earthquakes, wildfires, extreme temperatures, drought, flooding, and storms, an act of terrorism, vandalism or sabotage, a decision to close a facility without adequate notice, or other unanticipated problems at a facility could result in lengthy interruptions in the availability of our platform. Climate change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the non-proprietary technology, software, products and services that we use are unavailable, have future terms we cannot agree to, or do not perform as we expect, our business, operating results and financial condition could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various third-party open 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meet content and inventory standards and provide services that our customers and inventory suppliers trust, could harm our brand and reputation and negatively impact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clients violate our ad policies or other contract terms, which could harm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potential liability and harm to our business based on the human factor of inputting information into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acquisitions, strategic investments or alliances could disrupt our business and harm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We have no present commitments or agreements to enter into any such acquisitions or make any such investments. However,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regulatory hurdles;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of anticipated benefits to materialize;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diversion of management time and focus from operating our business to addressing acquisition integration challenges;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retention of employees from the acquired company;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cultural challenges associated with integrating employees from the acquired company into our organization;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integration of the acquired company’s accounting, management information, human resources and other administrative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need to implement or improve controls, procedures and policies at a business that prior to the acquisition may have lacked effective controls, procedures and policies;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coordination of product development and sales and marketing functions;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liability for activities of the acquired company before the acquisition, including known and unknown liabilities;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litigation or other claims in connection with the acquired company, including claims from terminated employees, former stockholders or other third parties;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negative reception to an acquisition by clients, suppliers, vendors, or investors.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on the continuing efforts of our key employees, including Tim Vanderhook and Chris Vanderhook, and our ability to attract, hire, retain and motivate highly skilled employees in the future.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liabilities arising out of our ownership and operation of Myspace.com.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including notifying and invalidating the passwords of known affected users, any present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Myspace.com has in the past been, and may in the future be, the subject of unfavorable publicity regarding, for example, its privacy practices, site quality and site operational matters. Myspace.com may also face negative publicity relating to content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in which we participate is intensely competitive, and we may not be able to compete successfully with our current or future competitors.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compete with large privately-held companies such as Yahoo DSP, with public companies such as The Trade Desk, and with divisions of large, well-established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As a result, these competitors may be better able to respond quickly to new technologies, develop deeper marketer relationships or offer services at lower prices.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derive a significant portion of our revenue from advertising in the desktop and mobile and connected TV channels, which are rapidly evolving, highly competitive, complex and fragmented. We face significant competition in these markets which we expect will intensify in the future. While fewer of our competitors currently have capability in other channels such as linear TV, in-game streaming audio and digital billboard channels, we also expect to face additional competition in those channels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Data Privacy and Artificial Intelligence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stringent and changing obligations related to data privacy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 the cost of data, reduce the availability of data, reduce our ability to utilize or disclose data, adversely affect the demand for our products and services, or other adverse business consequences.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store, use, transmit, disclose, or otherwise process (collectively, “Process”) personal information and other sensitive data such as confidential business data, trade secrets, and intellectual property, from and about consumers, our customers, employees, service providers, and other third parties. Our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U.S. federal, state, and local governments, and foreign governments have adopted or proposed numerous laws relating to the Processing of personal information relating to individuals and households, including contact information and other data for marketing, advertising and other communications with individuals and businesses. The legal landscape for data privacy issues worldwide is complex, continually evolving and often conflicting, and is likely to remain uncertain for the foreseeable future. </w:t>
      </w:r>
      <w:r>
        <w:rPr>
          <w:rFonts w:ascii="Times New Roman;sans-serif" w:hAnsi="Times New Roman;sans-serif"/>
          <w:b w:val="false"/>
          <w:color w:val="231F20"/>
          <w:sz w:val="20"/>
        </w:rPr>
        <w:t>As a result, our practices may not comply with such laws, regulations or obligations. Any failure or perceived failure to comply with applicable laws or regulations regarding privacy, data protection and cybersecurity could adversely affect our business, brand or reputation and may result in claims, actions, investigations or proceedings against us by regulators or individuals and require us to change our practices, all of which may result in significant costs.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the United States, various laws and regulations apply to the Processing of personal information. For example, U.S. federal and state legislatures, along with regulatory authorities, have recently increased their focus on the collection and use of personal information, including relating to “interest-based” or “targeted” advertising. As an example, California enacted the CCPA, which requires covered businesses to, among other things, provide disclosures to California consumers and grant California consumers a right to opt-out of “sales” of personal information, a concept that is broadly defined. </w:t>
      </w:r>
      <w:r>
        <w:rPr>
          <w:rFonts w:ascii="Times New Roman;sans-serif" w:hAnsi="Times New Roman;sans-serif"/>
          <w:b w:val="false"/>
          <w:color w:val="231F20"/>
          <w:sz w:val="20"/>
        </w:rPr>
        <w:t>The CCPA provides for civil penalties for violations and a private right of action for certain security breaches, which increases the risks associated with security breaches.</w:t>
      </w:r>
      <w:r>
        <w:rPr>
          <w:color w:val="000000"/>
        </w:rPr>
        <w:t xml:space="preserve"> </w:t>
      </w:r>
      <w:r>
        <w:rPr>
          <w:rFonts w:ascii="Times New Roman;sans-serif" w:hAnsi="Times New Roman;sans-serif"/>
          <w:b w:val="false"/>
          <w:color w:val="000000"/>
          <w:sz w:val="20"/>
        </w:rPr>
        <w:t>The CPRA, which came into effect on January 1, 2023, amends the CCPA by, among other things, providing consumers with a right to opt-out of “sharing” of personal information with third parties for the purpose of behavioral advertising, requiring additional protections for sensitive personal information, creating new data subject rights, creating a new state rulemaking and enforcement agency for the CCPA, expanding potential liability for violations and giving consumers rights to opt out of additional forms of data sharing with third parties. The enactment of the CCPA is prompting a wave of similar legislative developments in other states in the United States, which creates the potential for a patchwork of overlapping but different state laws. Other states have enacted data privacy laws, such as Colorado, Connecticut, Delaware, Florida, Indiana, Iowa, Montana, Oregon, Tennessee, Texas, and Utah, which impose requirements similar to those of the CCPA, afford consumers rights to access, delete, and correct their personal data, and many of them also afford consumers the right to opt out of “interest-based” or “targeted” advertising. Certain of these laws, such as the CCPA and the Colorado privacy law, also require or will require companies to respond to user-enabled global privacy controls, such as a browser plug-in or privacy setting, device setting, or other mechanism, that communicate or signal the consumer’s choice to opt-out of the sale or sharing of their personal information. In addition, other comprehensive data privacy and security laws have been proposed at the federal, state, and local levels in recent years, which could lead to a varied and complex regulatory landscape and further complicate our compliance efforts. Additionally, plaintiffs have sought to apply federal wiretap laws, such as the Federal Wiretap Act, and similar U.S. state laws, such as California’s Invasion of Privacy Act, to certain advertising and online tracking practices.</w:t>
      </w:r>
      <w:r>
        <w:rPr>
          <w:color w:val="000000"/>
        </w:rPr>
        <w:t xml:space="preserve"> </w:t>
      </w:r>
      <w:r>
        <w:rPr>
          <w:rFonts w:ascii="Times New Roman;sans-serif" w:hAnsi="Times New Roman;sans-serif"/>
          <w:b w:val="false"/>
          <w:color w:val="000000"/>
          <w:sz w:val="20"/>
        </w:rPr>
        <w:t>Such laws include private causes of action, and could result in significant monetary liability. Further, in order to comply with the varying state data breach reporting laws, we must maintain adequate security measures, which require significant investments in resources and ongoing attention.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certain laws, regulations, and industry standards may apply to our data privacy and security practices. For example, the EU’s General Data Protection Regulation (“EU GDPR”) and the United Kingdom’s GDPR (“UK GDPR”) (collectively “GDPR”) imposes strict requirements applicable to certain Processing of European personal information, respectively, in the European Economic Area (“EEA”) and the United Kingdom (“UK”). The applicability analysis under the GDPR is complex, but if we were deemed to operate our business in a manner subject to GDPR, the GDPR provides for significant penalties for noncompliance of up to the greater of €20 million under the EU GDPR / 17.5 million pounds sterling under the UK GDPR, or, in each case, 4% of an enterprise’s global turnover (or revenue) for the preceding fiscal year. Companies that violate the GDPR can also face prohibitions on data processing and other corrective action, such as class action brought by classes of data subjects or by consumer protection organizations authorized at law to represent their interests. Additionally, Member States may assess other penalties for noncompliance on companies subject to GDPR.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Several European legislative proposals could significantly affect our business. For example, the ePrivacy Regulation, which would repeal that ePrivacy Directive, could impose new obligations or limitations in areas affecting our business, notably with respect to the use of cookies.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have to change our business practices to comply with such obligations. These changes to the regulatory landscape, coupled with EU and UK regulators’ increasing focus on compliance with requirements related to the online behavioral advertising ecosystem could, limit the ability to obtain data through integrations with data suppliers, divert the attention of our technology personnel, adversely affect our margins, subject us to liabilities, and may require us to make significant operational changes.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be unable to transfer personal data from Europe and other jurisdictions to the United States or other countries due to data localization requirements or limitations on cross-border transfers of personal information. In particular, the EEA and UK have significantly restricted the transfer of personal data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data from the EEA and UK to the United States in compliance with law, these mechanisms are subject to legal challenges.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there is no lawful manner for us to transfer personal data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data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or requiring us to increase our personal information processing capabilities and infrastructure in Europe and/or elsewhere at significant expense.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Additionally, our employees and personnel use generative artificial intelligence technologies to perform their work, and such usage may be subject to various privacy laws and other privacy obligations. The disclosure and use of personal information in generative AI technologies is subject to various privacy laws and other privacy obligations, and governments have passed and are likely to pass additional laws regulating generative AI. For example, the California Privacy Protection Agency is contemplating regulatory requirements relating to automated processing activities. Our use of this technology could result in additional compliance costs, regulatory investigations and actions, and consumer lawsuits. If we are unable to use generative AI, it could make our business less efficient and result in competitive disadvantages. In addition, privacy advocates and industry groups have proposed, and may propose in the future, industry standards with which we are legally or contractually bound to comply. Additionally, we may make statements about our data Processing practices and our compliance with, or our ability to facilitate our customers’ compliance with, these standards. For example, we have committed to comply, and generally require our customers and the third parties upon which we rely to comply, with applicable self-regulatory principles, such as the Network Advertising Initiative’s Code of Conduct and the Digital Advertising Alliance’s Self-Regulatory Principles for Online Behavioral Advertising. These self-regulatory bodies impose additional requirements related to the Processing of personal information, such as providing notice about our use of cookies and other technologies. 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Times New Roman;sans-serif" w:hAnsi="Times New Roman;sans-serif"/>
          <w:b w:val="false"/>
          <w:i/>
          <w:color w:val="000000"/>
          <w:sz w:val="20"/>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r>
        <w:rPr>
          <w:rFonts w:ascii="Times New Roman;sans-serif" w:hAnsi="Times New Roman;sans-serif"/>
          <w:b w:val="false"/>
          <w:color w:val="000000"/>
          <w:sz w:val="20"/>
        </w:rPr>
        <w: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interpretation and application of privacy and data protection laws, regulations and standards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endeavor to comply with all applicable data privacy and security obligations, we may at times fail or be perceived to have failed to do so.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Any of these events could have a material adverse effect on our reputation, business, or financial condition, including but not limited to: loss of customers; additional costs and liabilities; damage our reputation; reduction in sales and demand for our platform; and harm our business.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sans-serif" w:hAnsi="Times New Roman;sans-serif"/>
          <w:b w:val="false"/>
          <w:i/>
          <w:color w:val="000000"/>
          <w:sz w:val="20"/>
        </w:rPr>
        <w:t>We face liabilities arising out of our ownership and operation of Myspace.com</w:t>
      </w:r>
      <w:r>
        <w:rPr>
          <w:rFonts w:ascii="Times New Roman;sans-serif" w:hAnsi="Times New Roman;sans-serif"/>
          <w:b w:val="false"/>
          <w:color w:val="000000"/>
          <w:sz w:val="20"/>
        </w:rPr>
        <w:t>.” Additionally, advocacy organizations have also filed complaints with data protection authorities against advertising technology companies, arguing that certain of these companies’ practices do not comply with the EU GDPR and/or the UK GDPR. It is possible that investigations or enforcement actions will involve our practices or practices similar to ours and we could be subject to similar investigations or enforcement actions in the future.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plaintiffs have become increasingly more active in bringing privacy-related claims against companies, including class action claims and mass arbitration demands. Some of these claims allow for the recovery of statutory damages on a per violation basis; if viable, these claims carry the potential for monumental statutory damages, depending on the volume of data and the number of violations.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example, browser providers have recently enacted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which we refer to collectively as cookies, to collect data about users and devices. Although our business is less reliant on cookies than some of our competitors because we do not need cookies for marketers and their advertising agencies to identify consumers with our identity resolution capabilities and identity graph, we do use third-party cookies. Third-party cookies are cookies owned and used by parties other than the owners of the website visited by the internet user, in connection with our business for execution of obtaining information about consumers, and for delivering digital advertising. Apple introduced an iOS update in April 2021 that requires users to opt-in to tracking of their activity across devices. Google has also introduced ad blocking software in its Chrome web browser that will block certain ads based on quality standards established under a multi-stakeholder coalition. Additionally, the Safari browser currently blocks third-party cookies by default and has recently added controls that algorithmically block or limit some cookies.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providers may frequently delay or change their previously announced operations or policies. For example, in June 2021, Google announced that it would delay its timeline of blocking third-party cookies by 2022 until 2023, and in 2022 further indicated that it will not begin blocking cookies until early 2024.</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Privacy aspects of other channels for programmatic advertising, such as connected TVs or over-the-top video, are still developing. Technical or policy changes, including regulation or industry self-regulation, could harm our growth in those channels.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and privacy advocates have raised significant concerns around observed data. There has been an array of ‘do-not-track’ efforts, suggestions and technologies introduced to address these concerns, and individuals are increasingly aware of these options. </w:t>
      </w:r>
      <w:r>
        <w:rPr>
          <w:rFonts w:ascii="Times New Roman;sans-serif" w:hAnsi="Times New Roman;sans-serif"/>
          <w:b w:val="false"/>
          <w:color w:val="000000"/>
          <w:sz w:val="20"/>
        </w:rPr>
        <w:t xml:space="preserve">For example, EU and UK regulators are increasingly focusing on compliance with requirements related to the behavioral, interest-based, or tailored advertising ecosystem. It is anticipated that the ePrivacy Regulation and national implementing laws will replace the current national laws implementing the ePrivacy Directive. Compliance with these laws may require us to make significant operational changes, limit the effectiveness of our activities, divert the attention of our technology personnel, adversely affect our margins, and subject us to liabilities. Outside of Europe, other laws further regulate behavioral, interest-based, or tailored advertising, making certain online advertising activities more difficult and subject to additional scrutiny. For example, the CCPA grants California residents the right to opt-out of a company’s selling personal data in exchange for money or other valuable consideration and sharing of personal data for behavioral advertising purposes and requires covered companies to treat signals from any user-enabled global privacy control the same as a request to opt out of the sale or sharing of personal information. Additionally, California law requires companies to disclose whether they respond to </w:t>
      </w:r>
      <w:r>
        <w:rPr>
          <w:color w:val="000000"/>
          <w:shd w:fill="FFFFFF" w:val="clear"/>
        </w:rPr>
        <w:t>‘</w:t>
      </w:r>
      <w:r>
        <w:rPr>
          <w:rFonts w:ascii="Times New Roman;sans-serif" w:hAnsi="Times New Roman;sans-serif"/>
          <w:b w:val="false"/>
          <w:color w:val="000000"/>
          <w:sz w:val="20"/>
          <w:shd w:fill="FFFFFF" w:val="clear"/>
        </w:rPr>
        <w:t>do-not-track’ or similar functionalities. There is activity by the major internet browsers to default turn on ‘do-not-track’ functionality, including by Safari and Firefox. It is not clear if other internet browsers will follow.</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Limitations on our or our customers’ ability to collect and use data for advertising, whether imposed by established technology companies or U.S. legislation, or otherwise, may impact the performance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 significant breach of our information technology systems or disclosure of our data, or of the security of our or our customers’, suppliers’, or other third parties’ upon which we rely could be detrimental to our business, reputation and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Like all companies, our IT Systems and Confidential Data are targets for cyber-attacks, malicious internet-based activity, online and offline fraud, and other similar activities by third parties. We and the third parties upon which we rely face a variety of evolving threats, which could cause security breaches that lead to operational disruption and/or compromises to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artificial intelligence,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IT Systems, adware, telecommunications failures, earthquakes, fires, floods, and other similar threats. 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Ransomware attacks are becoming increasingly prevalent and severe and can lead to significant interruptions in our operations, loss of data and income, reputational harm, and diversion of funds. Extortion payments may alleviate some of the negative impact of a ransomware attack, but we may be unwilling or unable to make such payments due to, for example, applicable laws or regulations prohibiting such payments.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upon third party service providers and technologies to operate critical business systems to process such data, including, without limitation, third-party providers of cloud-based infrastructure such as Google Cloud Platform and Amazon Web Services, employee email, and other functions. We may share or receive sensitive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information technology systems (including our products/services) or the third-party information technology systems that support us and our services.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r>
        <w:rPr>
          <w:color w:val="000000"/>
        </w:rPr>
        <w:t xml:space="preserve"> </w:t>
      </w:r>
      <w:r>
        <w:rPr>
          <w:rFonts w:ascii="Times New Roman;sans-serif" w:hAnsi="Times New Roman;sans-serif"/>
          <w:b w:val="false"/>
          <w:color w:val="000000"/>
          <w:sz w:val="20"/>
        </w:rPr>
        <w:t>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previously identified or similar threats, whether actual or perceived, could cause a security breach or other interruption, resulting in the unauthorized, unlawful, or accidental acquisition, disclosure, modification, misuse, destruction, disclosure of, encryption of, or loss of Confidential Data.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may incur significant costs in protecting against such cyberattacks and security breaches. Furthermore, certain data privacy and security obligations may require us to implement and maintain specific security measures. Although we have taken measures to protect our systems from such threats, these measures may not be effective.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sans-serif" w:hAnsi="Times New Roman;sans-serif"/>
          <w:b w:val="false"/>
          <w:i/>
          <w:color w:val="000000"/>
          <w:sz w:val="20"/>
        </w:rPr>
        <w:t>We face liabilities arising out of our ownership and operation of Myspace.com.</w:t>
      </w:r>
      <w:r>
        <w:rPr>
          <w:color w:val="000000"/>
        </w:rPr>
        <w:t xml:space="preserve">” </w:t>
      </w:r>
      <w:r>
        <w:rPr>
          <w:rFonts w:ascii="Times New Roman;sans-serif" w:hAnsi="Times New Roman;sans-serif"/>
          <w:b w:val="false"/>
          <w:color w:val="000000"/>
          <w:sz w:val="20"/>
        </w:rPr>
        <w:t xml:space="preserve">We take steps to detect and remediate vulnerabilities but we may not be able to detect and remediate all vulnerabilities because the threats and techniques used to exploit the vulnerability change frequently and are often sophisticated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cyber-related disruption or security breach of our or critical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or proprietary information of the Company or our customers could be leaked, disclosed, or revealed as a result of or in connection with our employee’s, personnel’s, or vendor’s use of generative AI technologies.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proprietary rights may be difficult to enforce, which could enable others to copy or use aspects of our technology without compensating us, thereby eroding our competitive advantages and harming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and the laws, procedures and restrictions may provide only limited protection.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third party claims for alleged infringement of third parties' proprietary rights, which would result in additional expense and potential damages.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practicing entities" that own patents and other intellectual property rights often attempt to aggressively assert their rights in order to extract value from technology companies. Furthermore, from time to time we may introduce or acquire new products, including in areas where we historically have not competed, which could increase our exposure to patent and other intellectual property claims from competitors and non-practicing entities. The cost of settling or defending against intellectual property claims, whether or not the claims have merit, is significant, regardless of whether we are successful in our defense, and could divert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potential liability and harm to our business based on the nature of our business and the content on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 whether we are permitted to deliver, or review the content of, such advertisements. If any of these representations are untrue,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Capital Structure and Related Tax Matters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depend on distributions from Viant Technology LLC to pay any dividends, if declared, taxes and other expenses, including payments under the Tax Receivable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Inc. is a holding company and its only business is to act as the managing member of Viant Technology LLC, and its only material assets are Class A units representing approximately 24.8% of the membership interests of Viant Technology LLC as of September 30, 2023. Viant Technology Inc. does not have any independent means of generating revenue. 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Viant Technology Inc. is required to pay income taxes on its allocable share of any net taxable income of Viant Technology LLC. We cause Viant Technology LLC to make distributions to each of its members, including Viant Technology Inc., in an amount intended to enable each member to pay all applicable taxes on taxable income allocable to such member and to allow Viant Technology Inc.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Viant Technology Inc. for corporate and other overhead expenses. If the amount of tax distributions to be made exceeds the amount of funds available for distribution, Viant Technology Inc. shall receive the full amount of its tax distribution before the other members receive any distribution and the balance, if any, of funds available for distribution shall be distributed to the other members pro rata in accordance with their assumed tax liabilities. To the extent that Viant Technology Inc. needs funds, and Viant Technology LLC is restricted from making such distributions under applicable laws or regulations, or is otherwise unable to provide such funds, it could materially and adversely affect Viant Technology Inc.’s ability to pay dividends and taxes and other expenses, including payments under the Tax Receivable Agreement, and affect our liquidity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Internal Revenue Service (“IRS”) might challenge the tax basis step-ups and other tax benefits we received in connection with our IPO and the related transactions and in connection with future acquisitions of Viant Technology LLC units.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Viant Technology LLC units held directly by the members of Viant Technology LLC other than Viant Technology Inc., including Tim Vanderhook, Chris Vanderhook, and Capital V LLC (formerly Four Brothers 2 LLC) (the "Vanderhook Parties"), may in the future be exchanged for shares of our Class A common stock or, at our election, cash. Those exchanges may result in increases in the tax basis of the assets of Viant Technology LLC that otherwise would not have been available. These increases in tax basis are expected to increase (for tax purposes) Viant Technology Inc.’s depreciation and amortization and, together with other tax benefits, reduce the amount of tax that Viant Technology Inc. would otherwise be required to pay, although it is possible that the IRS might challenge all or part of these tax basis increases or other tax benefits, and a court might sustain such a challenge. Viant Technology Inc.’s ability to achieve benefits from any tax basis increases or other tax benefits will depend upon a number of factors, as discussed below, including the timing and amount of our future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will not be reimbursed for any payments previously made under the Tax Receivable Agreement if the basis increases or other tax benefits described above are successfully challenged by the IRS or another taxing authority. As a result, in certain circumstances, payments could be made under the Tax Receivable Agreement in excess of our ultimate cash tax savings.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required to pay over to continuing members of Viant Technology LLC most of the tax benefits we receive from tax basis step-ups (and certain other tax benefits) attributable to Viant Technology, Inc's acquisition of units of Viant Technology LLC, and the amount of those payments may be substantial.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Inc. has entered into a Tax Receivable Agreement with Viant Technology LLC, continuing members of Viant Technology LLC (not including Viant Technology Inc.) and the TRA Representative. The Tax Receivable Agreement provides for payment by Viant Technology Inc. to continuing members of Viant Technology LLC (not including Viant Technology Inc.) of 85% of the amount of the net cash tax savings, if any, that Viant Technology Inc. realizes (or, under certain circumstances, is deemed to realize) as a result of increases in tax basis (and utilization of certain other tax benefits) resulting from (i) Viant Technology Inc.’s acquisition of Viant Technology LLC units from pre-IPO members of Viant Technology LLC in connection with the IPO and in future exchanges and (ii) any payments Viant Technology Inc. makes under the Tax Receivable Agreement (including tax benefits related to imputed interest). Viant Technology Inc. will retain the benefit of the remaining 15% of these net cash tax savings.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Viant Technology Inc.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Viant Technology Inc.’s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Viant Technology Inc. may have made under the Tax Receivable Agreement and the portion of Viant Technology Inc.’s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however, the Company has concluded that based on the weight of all available evidence these deferred tax assets subject to the TRA are not more likely than not of being realized, and as a result no TRA liability has been recorded. If deferred tax assets subject to the TRA become more likely than not to be realized, the Company will record the TRA liability. Upon recognition of the TRA, there may be a material negative effect on our financial condition and liquidity if, as described below, the payments under the Tax Receivable Agreement exceed the actual benefits Viant Technology Inc. receives in respect of the tax attributes subject to the Tax Receivable Agreement and/or distributions to Viant Technology Inc. by Viant Technology LLC are not sufficient to permit Viant Technology Inc. to make payments under the Tax Receivable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 certain circumstances, payments under the Tax Receivable Agreement may be accelerated and/or significantly exceed the actual tax benefits, if any, that Viant Technology Inc. actually realizes.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Receivable Agreement provides that if (i) Viant Technology Inc. exercises its right to early termination of the Tax Receivable Agreement in whole (that is, with respect to all benefits due to all beneficiaries under the Tax Receivable Agreement) or in part (that is, with respect to some benefits due to all beneficiaries under the Tax Receivable Agreement), (ii) Viant Technology Inc. experiences certain changes in control, (iii) the Tax Receivable Agreement is rejected in certain bankruptcy proceedings, (iv) Viant Technology Inc. fails (subject to certain exceptions) to make a payment under the Tax Receivable Agreement within 180 days after the due date or (v) Viant Technology Inc. materially breaches its obligations under the Tax Receivable Agreement, Viant Technology Inc. will be obligated to make an early termination payment to holders of rights under the Tax Receivable Agreement equal to the present value of all payments that would be required to be paid by Viant Technology Inc. under the Tax Receivable Agreement. The amount of such payments will be determined on the basis of certain assumptions in the Tax Receivable Agreement, including (i) the assumption that Viant Technology Inc. would have enough taxable income in the future to fully utilize the tax benefit resulting from the tax assets that are the subject of the Tax Receivable Agreement, (ii) the assumption that any item of loss deduction or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generated by a basis adjustment or imputed interest arising in a taxable year preceding the taxable year that includes an early termination will be used by Viant Technology Inc.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Viant Technology Inc.)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Viant Technology Inc. under the Tax Receivable Agreement at a rate equal to the lesser of (a) 6.5% and (b) the Secured Overnight Financing Rate, as reported by the Wall Street Journal plus 400 basis points.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as a result of an elective early termination or other termination of the Tax Receivable Agreement (including due to a change in control or Viant Technology Inc.’s material breach of its obligations under the Tax Receivable Agreement), Viant Technology Inc. could be required to make payments under the Tax Receivable Agreement that exceed its actual cash savings under the Tax Receivable Agreement. Thus, Viant Technology Inc.’s obligations under the Tax Receivable Agreement could have a substantial negative effect on its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Viant Technology Inc.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Viant Technology Inc. will not be permitted to reduce its payments under the Tax Receivable Agreement until there has been a final and binding determination, by which time sufficient subsequent payments under the Tax Receivable Agreement may not be available to offset prior payments for disallowed benefits. Viant Technology Inc.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Viant Technology Inc. actually realizes in respect of the increases in tax basis (and utilization of certain other tax benefits) and Viant Technology Inc. may not be able to recoup those payments, which could adversely affect Viant Technology Inc.’s financial condition and liquidity.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 certain circumstances, Viant Technology LLC will be required to make distributions to Viant Technology Inc. and the existing members of Viant Technology LLC, and the distributions that Viant Technology LLC will be required to make may be substantial.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LLC is expected to continue to be treated as a partnership for U.S. federal income tax purposes and, as such, is not subject to U.S. federal income tax. Instead, taxable income is allocated to members, including Viant Technology Inc. Pursuant to the Viant Technology LLC Operating Agreement, Viant Technology LLC makes tax distributions to its members, including Viant Technology Inc.,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Funds used by Viant Technology LLC to satisfy its tax distribution obligations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potential differences in the amount of net taxable income allocable to Viant Technology Inc. and to the existing members of Viant Technology LLC, as well as the use of an assumed tax rate in calculating Viant Technology LLC’s distribution obligations, we may receive distributions significantly in excess of our tax liabilities and obligations to make payments under the Tax Receivable Agreement. We may choose to manage these excess distributions through a number of different approaches, including, among other uses, the payment of a cash dividend on our Class A common stock, the payment of obligations under the Tax Receivable Agreement,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Viant Technology LLC were to become a publicly traded partnership taxable as a corporation for U.S. federal income tax purposes, Viant Technology Inc. and Viant Technology LLC might be subject to potentially significant tax inefficiencies, and Viant Technology Inc. would not be able to recover payments previously made by it under the Tax Receivable Agreement, even if the corresponding tax benefits were subsequently determined to have been unavailable due to such status.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Viant Technology LLC were to become a publicly traded partnership taxable as a corporation for U.S. federal income tax purposes, significant tax inefficiencies might result for Viant Technology Inc. and Viant Technology LLC, including as a result of Viant Technology Inc.’s inability to file a consolidated U.S. federal income tax return with Viant Technology LLC. In addition, Viant Technology Inc.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Capital Requirements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fluctuations in our operating results, which could make our future operating results difficult to predict or cause our operating results to fall below securities analysts’ and investors’ expectations.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The varying nature of our pricing mix between periods may make it more 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COVID-19, bank failures, labor shortages, inflation and monetary supply shifts, rising interest rates, tightening of credit markets,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demand for our platform, including those related to the seasonal nature of our customers’ spending on digital advertising campaigns;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our pricing policies, the pricing policies of our competitors and the pricing or availability of inventory, data or other third-party services;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our customer base and platform offerings;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addition or loss of advertising agencies and marketers as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advertising budget allocations, agency affiliations or marketing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to our channel mix (including, for example, changes in demand for connected TV);</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and uncertainty in the regulatory and business environment for us or customers (for example, when Apple or Google change policies for their browsers and operating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economic prospects of marketers or the economy generally (due to COVID-19, labor shortages, inflation and monetary supply shifts, rising interest rates, tightening of credit markets, and potential disruptions from international conflicts and acts of terrorism or otherwise), which could alter marketers’ spending priorities, or could increase the time or costs required to complete advertising inventory sales;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availability of advertising inventory or in the cost of reaching end consumers through digital advertising;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disruptions or outages on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introduction of new technologies or offerings by our competitors;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our capital expenditures as we acquire the hardware, equipment and other assets required to support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timing differences between our payments for advertising inventory and our collection of related advertising revenue;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length and unpredictability of our sales cycle;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costs related to acquisitions of businesses or technologies, or employee recruiting;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shifting views and behaviors of consumers concerning use of data.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secure additional financing on favorable terms, or at all, to meet our future capital needs, which may in turn impair our growth.</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continue to grow our business and increase our offerings, our costs will increase and we may not be able to generate sufficient revenue to sustain profitability and failure to manage growth effectively could cause our business to suffer.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expended significant resources in the past to grow our business and increase the offerings of our platform. While we have recently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develop our platform, including by investing in our engineering team, creating, acquiring or licensing new products or features, and improving the functionality, availability and security of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improve our technology infrastructure, including investing in internal technology development and acquiring outside technologies;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cover general and administrative expenses, including legal, accounting and other expenses necessary to support a larger organization;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cover sales and marketing expenses, including a significant expansion of our direct sales organization;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cover expenses relating to data collection and consumer privacy compliance, including additional infrastructure, automation and personnel;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explore strategic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the foregoing, however, may not yield anticipated returns. Consequently, as our costs increase, we may not be able to generate sufficient revenue to achieve or sustain profitability.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 party to a revolving credit agreement, which contains a number of covenants that may restrict our current and future operations and could adversely affect our ability to execute business needs.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Loan Agreement with PNC Bank contains a number of covenants that limit our ability and our subsidiaries’ ability to, among other things, incur indebtedness, create liens, make investments, merge with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comply with our payment requirements,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Seasonal fluctuations in advertising activity could have a material impact on our revenue, cash flow and operating results.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has been and may continue to be volatile or may decline regardless of our operating performance.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The market price of equity securities of technology companies has historically experienced high levels of volatility. The closing price of our Class A common stock since first trading on February 10, 2021 through November 2, 2023 has ranged from a low of $3.15 to a high of $68.31. </w:t>
      </w:r>
      <w:r>
        <w:rPr>
          <w:rFonts w:ascii="Times New Roman;sans-serif" w:hAnsi="Times New Roman;sans-serif"/>
          <w:b w:val="false"/>
          <w:color w:val="000000"/>
          <w:sz w:val="20"/>
          <w:shd w:fill="FFFFFF" w:val="clear"/>
        </w:rPr>
        <w:t xml:space="preserve">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w:t>
      </w:r>
      <w:r>
        <w:rPr>
          <w:rFonts w:ascii="Times New Roman;sans-serif" w:hAnsi="Times New Roman;sans-serif"/>
          <w:b w:val="false"/>
          <w:color w:val="000000"/>
          <w:sz w:val="20"/>
        </w:rPr>
        <w:t xml:space="preserve">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of substantial blocks of our Class A common stock into the public market, or the perception that such sales might occur, could cause the market price of our Class A common stock to decline.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Sales of substantial blocks of our Class A common stock into the public market, or the perception that such sales might occur, in particular sales by our directors, officers or other affiliates, could cause the market price of our Class A common stock to decline and </w:t>
      </w:r>
      <w:r>
        <w:rPr>
          <w:rFonts w:ascii="Times New Roman;sans-serif" w:hAnsi="Times New Roman;sans-serif"/>
          <w:b w:val="false"/>
          <w:color w:val="000000"/>
          <w:sz w:val="20"/>
          <w:shd w:fill="FFFFFF" w:val="clear"/>
        </w:rPr>
        <w:t>could impair our ability to raise capital through the sale of additional equity securities.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 “controlled company” within the meaning of the listing standards of the Nasdaq Global Select Market (“Nasdaq”) and, as a result, qualify for, and rely on, exemptions from certain corporate governance requirements.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Insiders have substantial control over our company, which could limit your ability to influence the outcome of key decisions, including a change of control.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Through their ownership of common stock, the Vanderhook Parties control approximately 71% of the voting power of our common stock in the election of directors as of September 30, 2023.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discourage takeover attempts and other corporate governance changes.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provide that our board of directors will be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permit the board of directors to establish the number of directors and fill any vacancies and newly created directorships;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provide that, after the Triggering Event, vacancies on our board of directors may be filled only by a majority of directors then in office, even though less than a quorum;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prohibit cumulative voting in the election of directors;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require super-majority voting to amend our certificate of incorporation and bylaws;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chairman of our board of directors, or our chief executive officer with the concurrence of a majority of our board of directors;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prohibit stockholder action by written consent after the Triggering Event, which requires all stockholder actions to be taken at a meeting of our stockholders;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permit our board of directors to alter our bylaws without obtaining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reflect the dual class structure of our common stock, as discussed above;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includes an exclusive forum clause, which could limit our stockholders’ ability to obtain a favorable judicial forum for disputes with 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a wide range of laws and regulations, many of which are evolving, and failure to comply with such laws and regulations could harm our business, financial condition, and results of operations.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For instance, new regulations, laws, policies, and international accords relating to environmental and social matters, including sustainability, climate change, human capital, and diversity, are being developed and formalized in the United States, Europe and elsewhere, which may result in increased costs and compliance and/or disclosure obligations. For more information, see our risk factor titled “Increasing attention to, and evolving expectations regarding, environmental, social, and governance matters may impact our business and reputation.” Noncompliance with applicable regulations or requirements could subject us to investigations, enforcement actions, sanctions, fines, damages, penalties, injunctions or termination of contracts. Any such matters could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Increasing attention to, and evolving expectations regarding, environmental, social, and governance (“ESG”) matters may impact our business and reputation.</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Companies across </w:t>
      </w:r>
      <w:r>
        <w:rPr>
          <w:rFonts w:ascii="Times New Roman;sans-serif" w:hAnsi="Times New Roman;sans-serif"/>
          <w:b w:val="false"/>
          <w:color w:val="000000"/>
          <w:sz w:val="20"/>
        </w:rPr>
        <w:t>industries are facing increasing scrutiny from a variety of stakeholders related to their ESG and sustainability practices. Expectations regarding voluntary ESG initiatives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While we have and continue to engage in voluntary initiatives (which may include voluntary disclosures, certifications, and/or goals, among others) to improve the ESG profile of the Company and/or our products, such initiatives </w:t>
      </w:r>
      <w:r>
        <w:rPr>
          <w:rFonts w:ascii="Times New Roman;sans-serif" w:hAnsi="Times New Roman;sans-serif"/>
          <w:b w:val="false"/>
          <w:color w:val="231F20"/>
          <w:sz w:val="20"/>
        </w:rPr>
        <w:t xml:space="preserve">may require considerable investments and may not have the desired effect. For example, our goals, such as our expectation that we will be carbon neutral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pPr>
      <w:r>
        <w:rPr>
          <w:rFonts w:ascii="Times New Roman;sans-serif" w:hAnsi="Times New Roman;sans-serif"/>
          <w:b w:val="false"/>
          <w:color w:val="231F20"/>
          <w:sz w:val="20"/>
        </w:rPr>
        <w:t xml:space="preserve">fiscal 2023, with all of their contingencies, dependencies, and in certain cases, reliance on third-party verification and/or performance, are complex and ambitious, and we may not achieve them. </w:t>
      </w:r>
      <w:r>
        <w:rPr>
          <w:rFonts w:ascii="Times New Roman;sans-serif" w:hAnsi="Times New Roman;sans-serif"/>
          <w:b w:val="false"/>
          <w:color w:val="000000"/>
          <w:sz w:val="20"/>
        </w:rPr>
        <w:t xml:space="preserve">Moreover, actions or statements that we may take based on expectations, assumptions, methodologies, or third-party information that we currently believe to be reasonable may subsequently be determined to be erroneous or be subject to misinterpretation. If we fail to, or are perceived to fail to, comply with or advance certain ESG initiatives (including the timeline and manner in which we complete such initiatives) and/or align with evolving best practices, we may be subject to various adverse impacts, including reputational damage and potential stakeholder engagement and/or litigation, even if such initiatives are currently voluntary. For example, there have been increasing allegations of greenwashing against companies making significant ESG claims due to a variety of perceived deficiencies in performance, including as stakeholder perceptions of sustainability continue to evolve. </w:t>
      </w:r>
      <w:r>
        <w:rPr>
          <w:rFonts w:ascii="Times New Roman;sans-serif" w:hAnsi="Times New Roman;sans-serif"/>
          <w:b w:val="false"/>
          <w:color w:val="231F20"/>
          <w:sz w:val="20"/>
        </w:rPr>
        <w:t xml:space="preserve">Additionally, our current programs, reporting frameworks, and principles may not be in compliance with any new environmental and social laws and regulations, or novel interpretations of existing laws and regulations, that may be promulgated in the United States and elsewhere, and the costs of changing any of our current practices to comply with any new legal and regulatory requirements in the United States and elsewhere may be substantial. </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We expect </w:t>
      </w:r>
      <w:r>
        <w:rPr>
          <w:rFonts w:ascii="Times New Roman;sans-serif" w:hAnsi="Times New Roman;sans-serif"/>
          <w:b w:val="false"/>
          <w:color w:val="000000"/>
          <w:sz w:val="20"/>
        </w:rPr>
        <w:t>there will likely be increasing levels of regulation, disclosure-related and otherwise, with respect to ESG matters. For example, the SEC has proposed rules that would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Similar requirements have been adopted in other jurisdictions, such as the European Union and California, which may require us to incur further costs to the extent we are, or become, subject to such requirements.</w:t>
      </w:r>
      <w:r>
        <w:rPr>
          <w:color w:val="231F20"/>
        </w:rPr>
        <w:t xml:space="preserve"> </w:t>
      </w:r>
      <w:r>
        <w:rPr>
          <w:rFonts w:ascii="Times New Roman;sans-serif" w:hAnsi="Times New Roman;sans-serif"/>
          <w:b w:val="false"/>
          <w:color w:val="231F20"/>
          <w:sz w:val="20"/>
        </w:rPr>
        <w:t xml:space="preserve">Noncompliance with applicable regulations or requirements could subject us to investigations, enforcement actions, sanctions, fines, damages, penalties, injunctions or termination of contracts. </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Furthermore, industry and market practices may further develop to become even more robust than what is required under any new laws and regulations and may impose added costs on our business and could require us to make changes to our business or platform. ESG performance is monitored and rated by a variety of organizations, and unfavorable ratings may impact investor sentiment and </w:t>
      </w:r>
      <w:r>
        <w:rPr>
          <w:rFonts w:ascii="Times New Roman;sans-serif" w:hAnsi="Times New Roman;sans-serif"/>
          <w:b w:val="false"/>
          <w:color w:val="000000"/>
          <w:sz w:val="20"/>
        </w:rPr>
        <w:t xml:space="preserve">negatively impact our share price as well as our access to and cost of capital. To the extent ESG matters negatively impact our reputation, it may also impede our ability to compete as effectively to attract and retain employees, customers, or business partners, which may adversely impact our operations. Additionally, many of our customers, business partners, and suppliers may be subject to similar expectations or risks, which may augment or create additional risks or impacts on us, including in ways that may not be known to us. </w:t>
      </w:r>
      <w:r>
        <w:rPr>
          <w:rFonts w:ascii="Times New Roman;sans-serif" w:hAnsi="Times New Roman;sans-serif"/>
          <w:b w:val="false"/>
          <w:color w:val="231F20"/>
          <w:sz w:val="20"/>
        </w:rPr>
        <w:t>Any such matters could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Reduced reporting and disclosure requirements applicable to us as an emerging growth company and a smaller reporting company could make our Class A common stock less attractive to investors.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until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 </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We are also a “smaller reporting company” and a “non-accelerated filer” as defined in the Exchange Act. We may take advantage of certain of the scaled disclosures available to smaller reporting companies and non-accelerated filers as long as we qualify under these categories, even after we are no longer an EGC, </w:t>
      </w:r>
      <w:r>
        <w:rPr>
          <w:rFonts w:ascii="Times New Roman;sans-serif" w:hAnsi="Times New Roman;sans-serif"/>
          <w:b w:val="false"/>
          <w:color w:val="000000"/>
          <w:sz w:val="20"/>
        </w:rPr>
        <w:t>including not being required to comply with the auditor attestation requirements of Section 404 of the Sarbanes-Oxley Act and reduced disclosure obligations regarding executive compensation in our periodic reports and proxy statements.</w:t>
      </w:r>
      <w:r>
        <w:rPr>
          <w:color w:val="231F20"/>
        </w:rPr>
        <w:t xml:space="preserve"> </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The reduced reporting and disclosure requirements applicable to us as an emerging growth company and a smaller reporting company could make our Class A common stock less attractive to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not required to audit the effectiveness of our internal control over financial reporting until after we are no longer an EGC and a non-accelerated filer. At such time, our independent registered public accounting firm may issue an opinion on our internal controls over financial reporting that is adverse in the event it is not satisfied with the level at which our internal control over financial reporting is documented, designed or operating.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maintain effective disclosure controls and internal control over financial reporting could have a material and adverse effect on our business and operating results and cause a decline in the market price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reports about our business, or publish inaccurate or unfavorable research reports about our business, our share price and trading volume could decline.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partially depends on the research and reports that securities or industry analysts publish about us or our business. We do not have any control over these analysts.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Purchases of Equity Securities by the Issuer and Affiliated Purchasers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Neither we nor any of our affiliated purchasers repurchased any shares of our Class A common stock during the quarter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8"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8"/>
        <w:gridCol w:w="245"/>
        <w:gridCol w:w="247"/>
        <w:gridCol w:w="109"/>
        <w:gridCol w:w="109"/>
        <w:gridCol w:w="109"/>
        <w:gridCol w:w="2727"/>
        <w:gridCol w:w="2628"/>
        <w:gridCol w:w="3753"/>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of Viant Technology Inc. (incorporated by reference to Exhibit 3.1 to the Company’s Annual Report on Form 10-K (File No. 001-40015) for the year ended December 31, 2020, filed on March 23, 2021)</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Viant Technology Inc. (incorporated by reference to Exhibit 3.2 to the Company’s Annual Report on Form 10-K (File No. 001-40015) for the year ended December 31, 2020, filed on March 23, 2021)</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0930xexx311.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0930xexx312.htm">
              <w:r>
                <w:rPr>
                  <w:rStyle w:val="InternetLink"/>
                  <w:rFonts w:ascii="Times New Roman;sans-serif" w:hAnsi="Times New Roman;sans-serif"/>
                  <w:b w:val="false"/>
                  <w:color w:val="0000FF"/>
                  <w:sz w:val="20"/>
                  <w:u w:val="single"/>
                </w:rPr>
                <w:t>Certification of Principal Financial Officer Pursuant to Section 302 of the Sarbanes-Oxley Act of 2002</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0930xexx321.htm">
              <w:r>
                <w:rPr>
                  <w:rStyle w:val="InternetLink"/>
                  <w:rFonts w:ascii="Times New Roman;sans-serif" w:hAnsi="Times New Roman;sans-serif"/>
                  <w:b w:val="false"/>
                  <w:color w:val="0000FF"/>
                  <w:sz w:val="20"/>
                  <w:u w:val="single"/>
                </w:rPr>
                <w:t>Certification of Principal Executive Officer Pursuant to Section 906 of the Sarbanes-Oxley Act of 2002</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0930xexx322.htm">
              <w:r>
                <w:rPr>
                  <w:rStyle w:val="InternetLink"/>
                  <w:rFonts w:ascii="Times New Roman;sans-serif" w:hAnsi="Times New Roman;sans-serif"/>
                  <w:b w:val="false"/>
                  <w:color w:val="0000FF"/>
                  <w:sz w:val="20"/>
                  <w:u w:val="single"/>
                </w:rPr>
                <w:t>Certification of Principal Financial Officer Pursuant to Section 906 of the Sarbanes-Oxley Act of 2002</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ind w:left="0" w:right="0" w:hanging="720"/>
        <w:jc w:val="left"/>
        <w:rPr>
          <w:color w:val="000000"/>
        </w:rPr>
      </w:pPr>
      <w:r>
        <w:rPr>
          <w:color w:val="000000"/>
        </w:rPr>
        <w:t>†    </w:t>
      </w:r>
      <w:r>
        <w:rPr>
          <w:rFonts w:ascii="Times New Roman;sans-serif" w:hAnsi="Times New Roman;sans-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199" w:type="dxa"/>
        <w:jc w:val="left"/>
        <w:tblInd w:w="0" w:type="dxa"/>
        <w:tblLayout w:type="fixed"/>
        <w:tblCellMar>
          <w:top w:w="28" w:type="dxa"/>
          <w:left w:w="28" w:type="dxa"/>
          <w:bottom w:w="28" w:type="dxa"/>
          <w:right w:w="28" w:type="dxa"/>
        </w:tblCellMar>
      </w:tblPr>
      <w:tblGrid>
        <w:gridCol w:w="759"/>
        <w:gridCol w:w="668"/>
        <w:gridCol w:w="672"/>
        <w:gridCol w:w="390"/>
        <w:gridCol w:w="390"/>
        <w:gridCol w:w="390"/>
        <w:gridCol w:w="1151"/>
        <w:gridCol w:w="1151"/>
        <w:gridCol w:w="162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Tim Vanderhook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Chairman</w:t>
              <w:b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Larry Madden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70"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Tim Vanderhook, certify that: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Viant Technology Inc.;</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w:t>
      </w:r>
      <w:r>
        <w:rPr>
          <w:rFonts w:ascii="Times New Roman;sans-serif" w:hAnsi="Times New Roman;sans-serif"/>
          <w:b w:val="false"/>
          <w:color w:val="333333"/>
          <w:sz w:val="20"/>
        </w:rPr>
        <w:t xml:space="preserve">and internal control over financial reporting (as defined in Exchange Act Rules 13a-15(f) and 15d-15(f)) </w:t>
      </w:r>
      <w:r>
        <w:rPr>
          <w:rFonts w:ascii="Times New Roman;sans-serif" w:hAnsi="Times New Roman;sans-serif"/>
          <w:b w:val="false"/>
          <w:color w:val="000000"/>
          <w:sz w:val="20"/>
        </w:rPr>
        <w:t>for the registrant and have: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bl>
      <w:tblPr>
        <w:tblW w:w="3596" w:type="dxa"/>
        <w:jc w:val="left"/>
        <w:tblInd w:w="0" w:type="dxa"/>
        <w:tblLayout w:type="fixed"/>
        <w:tblCellMar>
          <w:top w:w="28" w:type="dxa"/>
          <w:left w:w="28" w:type="dxa"/>
          <w:bottom w:w="28" w:type="dxa"/>
          <w:right w:w="28" w:type="dxa"/>
        </w:tblCellMar>
      </w:tblPr>
      <w:tblGrid>
        <w:gridCol w:w="1168"/>
        <w:gridCol w:w="1025"/>
        <w:gridCol w:w="1031"/>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 Vanderhook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Larry Madden, certify that: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Viant Technology Inc.;</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w:t>
      </w:r>
      <w:r>
        <w:rPr>
          <w:rFonts w:ascii="Times New Roman;sans-serif" w:hAnsi="Times New Roman;sans-serif"/>
          <w:b w:val="false"/>
          <w:color w:val="333333"/>
          <w:sz w:val="20"/>
        </w:rPr>
        <w:t xml:space="preserve">and internal control over financial reporting (as defined in Exchange Act Rules 13a-15(f) and 15d-15(f)) </w:t>
      </w:r>
      <w:r>
        <w:rPr>
          <w:rFonts w:ascii="Times New Roman;sans-serif" w:hAnsi="Times New Roman;sans-serif"/>
          <w:b w:val="false"/>
          <w:color w:val="000000"/>
          <w:sz w:val="20"/>
        </w:rPr>
        <w:t>for the registrant and have: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bl>
      <w:tblPr>
        <w:tblW w:w="4106" w:type="dxa"/>
        <w:jc w:val="left"/>
        <w:tblInd w:w="0" w:type="dxa"/>
        <w:tblLayout w:type="fixed"/>
        <w:tblCellMar>
          <w:top w:w="28" w:type="dxa"/>
          <w:left w:w="28" w:type="dxa"/>
          <w:bottom w:w="28" w:type="dxa"/>
          <w:right w:w="28" w:type="dxa"/>
        </w:tblCellMar>
      </w:tblPr>
      <w:tblGrid>
        <w:gridCol w:w="1352"/>
        <w:gridCol w:w="1186"/>
        <w:gridCol w:w="1196"/>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Madden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Viant Technology Inc. (the “Company”) on Form 10-Q for the quarter ended September 30, 2023, as filed with the Securities and Exchange Commission on the date hereof (the “Report”), I certify, pursuant to 18 U.S.C. § 1350, as adopted pursuant to § 906 of the Sarbanes-Oxley Act of 2002,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757"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51"/>
        <w:gridCol w:w="951"/>
        <w:gridCol w:w="135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 Vanderhook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Viant Technology Inc. (the “Company”) on Form 10-Q for the quarter ended September 30, 2023, as filed with the Securities and Exchange Commission on the date hereof (the “Report”), I certify, pursuant to 18 U.S.C. § 1350, as adopted pursuant to § 906 of the Sarbanes-Oxley Act of 2002,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268"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1102"/>
        <w:gridCol w:w="1102"/>
        <w:gridCol w:w="156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Larry Madden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28791/000156459021014855/dsp-ex31_279.htm" TargetMode="External"/><Relationship Id="rId4" Type="http://schemas.openxmlformats.org/officeDocument/2006/relationships/hyperlink" Target="http://www.sec.gov/Archives/edgar/data/1828791/000156459021014855/dsp-ex32_278.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45946</Words>
  <Characters>256337</Characters>
  <CharactersWithSpaces>299749</CharactersWithSpaces>
  <Paragraphs>4013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